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3511"/>
        <w:gridCol w:w="1709"/>
        <w:gridCol w:w="3892"/>
      </w:tblGrid>
      <w:tr w:rsidR="00D365BE" w14:paraId="47FABFFE" w14:textId="77777777" w:rsidTr="00C73EC3">
        <w:tc>
          <w:tcPr>
            <w:tcW w:w="1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CE241D" w14:textId="59AD63B3" w:rsidR="00D365BE" w:rsidRPr="00CF60FF" w:rsidRDefault="00D365BE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Date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8266D8" w14:textId="0F8651FC" w:rsidR="00D365BE" w:rsidRDefault="00D365BE" w:rsidP="00CB27AA">
            <w:pPr>
              <w:spacing w:before="40" w:after="40"/>
            </w:pPr>
            <w:r>
              <w:t xml:space="preserve">Wednesday, </w:t>
            </w:r>
            <w:r w:rsidR="00E841CE">
              <w:t>November 20</w:t>
            </w:r>
            <w:r>
              <w:t>, 2024</w:t>
            </w:r>
          </w:p>
        </w:tc>
        <w:tc>
          <w:tcPr>
            <w:tcW w:w="1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D8511E" w14:textId="2505C590" w:rsidR="00D365BE" w:rsidRPr="00CF60FF" w:rsidRDefault="00D365BE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Type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89CFEE" w14:textId="5B752E74" w:rsidR="00D365BE" w:rsidRDefault="00E841CE" w:rsidP="00CB27AA">
            <w:pPr>
              <w:spacing w:before="40" w:after="40"/>
            </w:pPr>
            <w:r>
              <w:t>In-person, New Haven</w:t>
            </w:r>
          </w:p>
        </w:tc>
      </w:tr>
      <w:tr w:rsidR="00AC1195" w14:paraId="7F06EE53" w14:textId="77777777" w:rsidTr="00C73EC3">
        <w:tc>
          <w:tcPr>
            <w:tcW w:w="1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A447A4" w14:textId="3BB2E950" w:rsidR="00AC1195" w:rsidRPr="00CF60FF" w:rsidRDefault="00533C2B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Start Time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5D4CA6" w14:textId="1055F7D5" w:rsidR="00AC1195" w:rsidRDefault="00274A02" w:rsidP="00CB27AA">
            <w:pPr>
              <w:spacing w:before="40" w:after="40"/>
            </w:pPr>
            <w:r>
              <w:t>12:55 p.m.</w:t>
            </w:r>
            <w:r w:rsidR="00D365BE">
              <w:t xml:space="preserve"> </w:t>
            </w:r>
          </w:p>
        </w:tc>
        <w:tc>
          <w:tcPr>
            <w:tcW w:w="1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524FB3" w14:textId="6978EDC4" w:rsidR="00AC1195" w:rsidRPr="00CF60FF" w:rsidRDefault="00533C2B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End Time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C8663D" w14:textId="01C16AC2" w:rsidR="00AC1195" w:rsidRDefault="00274A02" w:rsidP="00CB27AA">
            <w:pPr>
              <w:spacing w:before="40" w:after="40"/>
            </w:pPr>
            <w:r>
              <w:t>2</w:t>
            </w:r>
            <w:r w:rsidR="00FC6012">
              <w:t>:00</w:t>
            </w:r>
            <w:r w:rsidR="00D365BE">
              <w:t xml:space="preserve"> </w:t>
            </w:r>
            <w:r>
              <w:t>p</w:t>
            </w:r>
            <w:r w:rsidR="00D365BE">
              <w:t xml:space="preserve">.m. </w:t>
            </w:r>
          </w:p>
        </w:tc>
      </w:tr>
      <w:tr w:rsidR="00C73EC3" w:rsidRPr="00C73EC3" w14:paraId="244236B2" w14:textId="77777777" w:rsidTr="00C73EC3">
        <w:tc>
          <w:tcPr>
            <w:tcW w:w="1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61C666" w14:textId="205E54DF" w:rsidR="00C73EC3" w:rsidRDefault="00C73EC3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Leaders </w:t>
            </w:r>
          </w:p>
        </w:tc>
        <w:tc>
          <w:tcPr>
            <w:tcW w:w="9112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601CEC" w14:textId="6A6FACF3" w:rsidR="00C73EC3" w:rsidRPr="00C73EC3" w:rsidRDefault="00C73EC3" w:rsidP="00CB27AA">
            <w:pPr>
              <w:spacing w:before="40" w:after="40"/>
              <w:rPr>
                <w:lang w:val="fr-FR"/>
              </w:rPr>
            </w:pPr>
            <w:r w:rsidRPr="00C73EC3">
              <w:rPr>
                <w:lang w:val="fr-FR"/>
              </w:rPr>
              <w:t>Roberta Stewart (Chair), Gina D’Angelo (CT DPH Resource Liaison</w:t>
            </w:r>
            <w:r>
              <w:rPr>
                <w:lang w:val="fr-FR"/>
              </w:rPr>
              <w:t>)</w:t>
            </w:r>
          </w:p>
        </w:tc>
      </w:tr>
      <w:tr w:rsidR="00C73EC3" w14:paraId="541B3275" w14:textId="77777777" w:rsidTr="00C73EC3">
        <w:tc>
          <w:tcPr>
            <w:tcW w:w="1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F1E0E2" w14:textId="0991DC09" w:rsidR="00C73EC3" w:rsidRPr="00CF60FF" w:rsidRDefault="00C73EC3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Participants:</w:t>
            </w:r>
          </w:p>
        </w:tc>
        <w:tc>
          <w:tcPr>
            <w:tcW w:w="35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50C7B2" w14:textId="678194E2" w:rsidR="00C73EC3" w:rsidRPr="00C73EC3" w:rsidRDefault="00E23EDD" w:rsidP="00CB27AA">
            <w:pPr>
              <w:spacing w:before="40" w:after="40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  <w:r w:rsidR="00C73EC3" w:rsidRPr="00C73EC3">
              <w:rPr>
                <w:highlight w:val="yellow"/>
              </w:rPr>
              <w:t>#</w:t>
            </w:r>
          </w:p>
        </w:tc>
        <w:tc>
          <w:tcPr>
            <w:tcW w:w="1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B76BCB" w14:textId="05A46B68" w:rsidR="00C73EC3" w:rsidRDefault="00C73EC3" w:rsidP="00CB27AA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t>Next Meeting:</w:t>
            </w:r>
          </w:p>
        </w:tc>
        <w:tc>
          <w:tcPr>
            <w:tcW w:w="38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A8C85B" w14:textId="021C78D0" w:rsidR="00C73EC3" w:rsidRDefault="00C73EC3" w:rsidP="00CB27AA">
            <w:pPr>
              <w:spacing w:before="40" w:after="40"/>
            </w:pPr>
            <w:r>
              <w:t>January 15, 2025</w:t>
            </w:r>
          </w:p>
        </w:tc>
      </w:tr>
    </w:tbl>
    <w:p w14:paraId="477D385A" w14:textId="77777777" w:rsidR="00AC1195" w:rsidRDefault="00AC1195" w:rsidP="005B2830">
      <w:pPr>
        <w:spacing w:after="0"/>
      </w:pPr>
    </w:p>
    <w:p w14:paraId="75CB0641" w14:textId="77777777" w:rsidR="00FC6012" w:rsidRPr="00FC6012" w:rsidRDefault="00AA48CA" w:rsidP="005B2830">
      <w:pPr>
        <w:spacing w:after="60" w:line="250" w:lineRule="auto"/>
        <w:rPr>
          <w:b/>
          <w:bCs/>
          <w:color w:val="156082" w:themeColor="accent1"/>
        </w:rPr>
      </w:pPr>
      <w:r w:rsidRPr="00FC6012">
        <w:rPr>
          <w:b/>
          <w:bCs/>
          <w:color w:val="156082" w:themeColor="accent1"/>
        </w:rPr>
        <w:t>WELCOME AND CHPC OVERVIEW</w:t>
      </w:r>
    </w:p>
    <w:p w14:paraId="3902A53A" w14:textId="00AD11A1" w:rsidR="00AC1195" w:rsidRDefault="00275F25" w:rsidP="00913ABC">
      <w:pPr>
        <w:spacing w:after="140" w:line="250" w:lineRule="auto"/>
        <w:jc w:val="both"/>
      </w:pPr>
      <w:r>
        <w:t>Roberta Stewart (ETS Chair) and Gina D’Angelo (CT DPH Resource Liaison)</w:t>
      </w:r>
      <w:r w:rsidR="009D5348">
        <w:t xml:space="preserve"> (1)</w:t>
      </w:r>
      <w:r>
        <w:t xml:space="preserve"> introduced themselves</w:t>
      </w:r>
      <w:r w:rsidR="00D258CA">
        <w:t>,</w:t>
      </w:r>
      <w:r w:rsidR="009D5348">
        <w:t xml:space="preserve"> (2)</w:t>
      </w:r>
      <w:r w:rsidR="00D258CA">
        <w:t xml:space="preserve"> reviewed the  charge of the committee and its relationship to the Integrated Plan goals and objectives</w:t>
      </w:r>
      <w:r w:rsidR="00C3690E">
        <w:t xml:space="preserve">, </w:t>
      </w:r>
      <w:r w:rsidR="009D5348">
        <w:t>(3) outlined t</w:t>
      </w:r>
      <w:r w:rsidR="00C3690E">
        <w:t xml:space="preserve">he </w:t>
      </w:r>
      <w:r w:rsidR="009D5348">
        <w:t xml:space="preserve">purpose of the meeting, and (4) encouraged participants to </w:t>
      </w:r>
      <w:r w:rsidR="003100FC">
        <w:t xml:space="preserve">create a positive, productive meeting climate. </w:t>
      </w:r>
    </w:p>
    <w:p w14:paraId="630EA024" w14:textId="2A059771" w:rsidR="00B57370" w:rsidRPr="00FC6012" w:rsidRDefault="00297784" w:rsidP="005B2830">
      <w:pPr>
        <w:spacing w:after="60" w:line="25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ADMINISTRATIVE MATTERS </w:t>
      </w:r>
      <w:r w:rsidR="007A5C27" w:rsidRPr="00FC6012">
        <w:rPr>
          <w:b/>
          <w:bCs/>
          <w:color w:val="156082" w:themeColor="accent1"/>
        </w:rPr>
        <w:t xml:space="preserve"> </w:t>
      </w:r>
    </w:p>
    <w:p w14:paraId="34F987D1" w14:textId="1B162E28" w:rsidR="004C5174" w:rsidRDefault="00297784" w:rsidP="00913ABC">
      <w:pPr>
        <w:spacing w:after="140" w:line="250" w:lineRule="auto"/>
        <w:jc w:val="both"/>
        <w:rPr>
          <w:b/>
          <w:bCs/>
        </w:rPr>
      </w:pPr>
      <w:r>
        <w:rPr>
          <w:b/>
          <w:bCs/>
        </w:rPr>
        <w:t>Review of Prior Meeting Notes</w:t>
      </w:r>
      <w:r w:rsidR="004C5174">
        <w:rPr>
          <w:b/>
          <w:bCs/>
        </w:rPr>
        <w:t>.</w:t>
      </w:r>
      <w:r w:rsidR="004C5174" w:rsidRPr="005F259C">
        <w:t xml:space="preserve"> </w:t>
      </w:r>
      <w:r w:rsidR="002E0CF0">
        <w:t>The last meeting of the ETS occurred in August 2024. The ETS provided input on goals and objectives for the Connecticut Sexual Health Coalition. Those notes were</w:t>
      </w:r>
      <w:r w:rsidR="005F6B99">
        <w:t xml:space="preserve"> sent out in August and </w:t>
      </w:r>
      <w:r w:rsidR="008864BB">
        <w:t>will</w:t>
      </w:r>
      <w:r w:rsidR="005F6B99">
        <w:t xml:space="preserve"> not be reviewed today. </w:t>
      </w:r>
    </w:p>
    <w:p w14:paraId="21B511F8" w14:textId="49897135" w:rsidR="00F7368B" w:rsidRDefault="00F7368B" w:rsidP="00913ABC">
      <w:pPr>
        <w:spacing w:after="140" w:line="250" w:lineRule="auto"/>
        <w:jc w:val="both"/>
      </w:pPr>
      <w:r w:rsidRPr="00F7368B">
        <w:rPr>
          <w:b/>
          <w:bCs/>
        </w:rPr>
        <w:t xml:space="preserve">Leadership. </w:t>
      </w:r>
      <w:r w:rsidR="003100FC">
        <w:t>The</w:t>
      </w:r>
      <w:r w:rsidR="002E4FFA">
        <w:t xml:space="preserve"> Committee Chair and CT DPH Resource Liaison will participate in a</w:t>
      </w:r>
      <w:r w:rsidR="00963F9B">
        <w:t xml:space="preserve"> CHPC </w:t>
      </w:r>
      <w:r w:rsidR="002E4FFA">
        <w:t xml:space="preserve">Executive Committee strategy session </w:t>
      </w:r>
      <w:r w:rsidR="00963F9B">
        <w:t xml:space="preserve">that will occur in December. This </w:t>
      </w:r>
      <w:r w:rsidR="002310B5">
        <w:t xml:space="preserve">strategy </w:t>
      </w:r>
      <w:r w:rsidR="00963F9B">
        <w:t xml:space="preserve">session will focus on </w:t>
      </w:r>
      <w:r w:rsidR="00823764">
        <w:t xml:space="preserve">developing a road map for the CHPC during 2025 as well as coordinate committee activities. Information from the meeting today will </w:t>
      </w:r>
      <w:r w:rsidR="00A73624">
        <w:t xml:space="preserve">contribute to the CHPC 2025 roadmap of activities. </w:t>
      </w:r>
    </w:p>
    <w:p w14:paraId="2B0AD291" w14:textId="30696916" w:rsidR="007A5C27" w:rsidRPr="00FC6012" w:rsidRDefault="00A73624" w:rsidP="005B2830">
      <w:pPr>
        <w:spacing w:after="60" w:line="25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SYNDEMIC PARTNER</w:t>
      </w:r>
      <w:r w:rsidR="00B54BAA">
        <w:rPr>
          <w:b/>
          <w:bCs/>
          <w:color w:val="156082" w:themeColor="accent1"/>
        </w:rPr>
        <w:t>S</w:t>
      </w:r>
      <w:r>
        <w:rPr>
          <w:b/>
          <w:bCs/>
          <w:color w:val="156082" w:themeColor="accent1"/>
        </w:rPr>
        <w:t xml:space="preserve"> UPDATE </w:t>
      </w:r>
    </w:p>
    <w:p w14:paraId="4EE0841C" w14:textId="7AAE230C" w:rsidR="00A73624" w:rsidRDefault="00B54BAA" w:rsidP="00C10A66">
      <w:pPr>
        <w:spacing w:after="140" w:line="250" w:lineRule="auto"/>
        <w:jc w:val="both"/>
        <w:rPr>
          <w:b/>
          <w:bCs/>
        </w:rPr>
      </w:pPr>
      <w:r>
        <w:rPr>
          <w:b/>
          <w:bCs/>
        </w:rPr>
        <w:t>CT DPH Syndemic Partner Group.</w:t>
      </w:r>
      <w:r w:rsidRPr="00E55BC2">
        <w:t xml:space="preserve"> </w:t>
      </w:r>
      <w:r w:rsidR="00990B93" w:rsidRPr="00E55BC2">
        <w:t xml:space="preserve">Gina D’Angelo </w:t>
      </w:r>
      <w:r w:rsidR="00E55BC2" w:rsidRPr="00E55BC2">
        <w:t>reported that the CT DPH led Syndemic Partner Group</w:t>
      </w:r>
      <w:r w:rsidR="00F71279">
        <w:t xml:space="preserve"> focuses on statewide systems, program and policy issues and uses the ETS Committee to connect this work to the regional and local levels. </w:t>
      </w:r>
      <w:r w:rsidR="00E55BC2">
        <w:t xml:space="preserve">The past few months have been devoted to supporting </w:t>
      </w:r>
      <w:r w:rsidR="00C619C3">
        <w:t xml:space="preserve">a small set of organizations pilot the Syndemic Screener in English and Spanish. </w:t>
      </w:r>
      <w:r w:rsidR="00662BF7">
        <w:t>The group</w:t>
      </w:r>
      <w:r w:rsidR="00662BF7" w:rsidRPr="00E55BC2">
        <w:t xml:space="preserve"> will meet again in January 2025.</w:t>
      </w:r>
    </w:p>
    <w:p w14:paraId="0AA2ED79" w14:textId="58998191" w:rsidR="00B54BAA" w:rsidRDefault="00B54BAA" w:rsidP="00C10A66">
      <w:pPr>
        <w:spacing w:after="140" w:line="250" w:lineRule="auto"/>
        <w:jc w:val="both"/>
        <w:rPr>
          <w:b/>
          <w:bCs/>
        </w:rPr>
      </w:pPr>
      <w:r>
        <w:rPr>
          <w:b/>
          <w:bCs/>
        </w:rPr>
        <w:t xml:space="preserve">CT DPH Prevention. </w:t>
      </w:r>
      <w:r w:rsidR="00325A46">
        <w:t xml:space="preserve">Gina D’Angelo shared that the </w:t>
      </w:r>
      <w:r w:rsidR="0015288D">
        <w:t>CT DPH uses a regional delivery strategy with its service contractors. Regional leads include (1) City of Hartford, (2) Alliance for Living, (3) Yale New Haven Hospital, and (4) APEX</w:t>
      </w:r>
      <w:r w:rsidR="00417324">
        <w:t xml:space="preserve">, with (5) Planned Parenthood and (6) Connecticut Harm Reduction Alliance providing statewide services for testing and harm reduction, respectively. </w:t>
      </w:r>
      <w:r w:rsidR="008D6BBD">
        <w:t xml:space="preserve">From a policy perspective, CT DPH has been </w:t>
      </w:r>
      <w:r w:rsidR="006253CF">
        <w:t>focusing on</w:t>
      </w:r>
      <w:r w:rsidR="00F71279">
        <w:t xml:space="preserve"> the</w:t>
      </w:r>
      <w:r w:rsidR="008D6BBD">
        <w:t xml:space="preserve"> implementation of new policy (e.g., routine HIV</w:t>
      </w:r>
      <w:r w:rsidR="006253CF">
        <w:t>, viral hepatitis testing)</w:t>
      </w:r>
    </w:p>
    <w:p w14:paraId="76AF1862" w14:textId="43937760" w:rsidR="00B54BAA" w:rsidRDefault="00B54BAA" w:rsidP="00C10A66">
      <w:pPr>
        <w:spacing w:after="140" w:line="250" w:lineRule="auto"/>
        <w:jc w:val="both"/>
        <w:rPr>
          <w:b/>
          <w:bCs/>
        </w:rPr>
      </w:pPr>
      <w:r>
        <w:rPr>
          <w:b/>
          <w:bCs/>
        </w:rPr>
        <w:t xml:space="preserve">CT DPH Viral Hepatitis. </w:t>
      </w:r>
      <w:r w:rsidR="00450037" w:rsidRPr="00450037">
        <w:t>Venesha Heron (CT DPH) shared that p</w:t>
      </w:r>
      <w:r w:rsidR="00321307" w:rsidRPr="00450037">
        <w:t>ro</w:t>
      </w:r>
      <w:r w:rsidR="00321307">
        <w:t>gress continues to occur on the development of the Viral Hepatitis Elimination Plan</w:t>
      </w:r>
      <w:r w:rsidR="008444FF">
        <w:t xml:space="preserve"> currently in year 4 of implementation with an Annual Performance Report</w:t>
      </w:r>
      <w:r w:rsidR="00B9199B">
        <w:t xml:space="preserve"> will be due in April 2025. The year 5 continuation funding application is underway for year 5. </w:t>
      </w:r>
      <w:r w:rsidR="002272D3">
        <w:t xml:space="preserve">Testing reach continues to expand </w:t>
      </w:r>
      <w:r w:rsidR="006521B3">
        <w:t xml:space="preserve">with 5,798 tests in 2022 (with 581 reactive) and increased to 11,000+ </w:t>
      </w:r>
      <w:r w:rsidR="00F47A52">
        <w:t xml:space="preserve">in 2023. Universal testing and screening appears to be making an impact. </w:t>
      </w:r>
      <w:r w:rsidR="008803DF">
        <w:t xml:space="preserve">Planning activity is underway for future events (e.g., City of Hartford testing event). The Viral Hepatitis </w:t>
      </w:r>
      <w:r w:rsidR="00921FB3">
        <w:t xml:space="preserve">Elimination </w:t>
      </w:r>
      <w:r w:rsidR="00E5669F">
        <w:t>Technical A</w:t>
      </w:r>
      <w:r w:rsidR="00F655C8">
        <w:t>dvisory Committee (V</w:t>
      </w:r>
      <w:r w:rsidR="00921FB3">
        <w:t xml:space="preserve">HTAC) will meet at a date to be determined in December 2024. </w:t>
      </w:r>
    </w:p>
    <w:p w14:paraId="78EAC328" w14:textId="0AF9AF20" w:rsidR="00521BE1" w:rsidRDefault="00521BE1" w:rsidP="00C10A66">
      <w:pPr>
        <w:spacing w:after="140" w:line="250" w:lineRule="auto"/>
        <w:jc w:val="both"/>
        <w:rPr>
          <w:b/>
          <w:bCs/>
        </w:rPr>
      </w:pPr>
      <w:r>
        <w:rPr>
          <w:b/>
          <w:bCs/>
        </w:rPr>
        <w:t xml:space="preserve">CT DPH STD. </w:t>
      </w:r>
      <w:r w:rsidR="00DA296B" w:rsidRPr="00DA296B">
        <w:t xml:space="preserve">Arleen Lewis (CT DPH) </w:t>
      </w:r>
      <w:r w:rsidR="000210D3">
        <w:t xml:space="preserve">shared that progress continues to occur in developing the statewide Sexually Transmitted Disease </w:t>
      </w:r>
      <w:r w:rsidR="004838E4">
        <w:t>(STDs) / Sexual Health Plan. STDs and sexually transmitted infections (STIs) continue to remain high</w:t>
      </w:r>
      <w:r w:rsidR="0075627B">
        <w:t xml:space="preserve"> and the Disease Intervention Specialist (DIS) teams </w:t>
      </w:r>
      <w:r w:rsidR="004503A2">
        <w:t>continue to work tirelessly</w:t>
      </w:r>
      <w:r w:rsidR="007447D5">
        <w:t xml:space="preserve">. </w:t>
      </w:r>
      <w:r w:rsidR="008B6BBB">
        <w:t>The STD Program has added staff capacity</w:t>
      </w:r>
      <w:r w:rsidR="007447D5">
        <w:t xml:space="preserve"> (e.g.,</w:t>
      </w:r>
      <w:r w:rsidR="004503A2">
        <w:t xml:space="preserve"> DIS,</w:t>
      </w:r>
      <w:r w:rsidR="007447D5">
        <w:t xml:space="preserve"> epidemiologist</w:t>
      </w:r>
      <w:r w:rsidR="008E32E7">
        <w:t>/surveillance</w:t>
      </w:r>
      <w:r w:rsidR="007447D5">
        <w:t xml:space="preserve">, health program associate) </w:t>
      </w:r>
      <w:r w:rsidR="002E72F4">
        <w:t xml:space="preserve">and has recently </w:t>
      </w:r>
      <w:r w:rsidR="002E72F4">
        <w:lastRenderedPageBreak/>
        <w:t>completed a Sexual Health Tool Kit for providers</w:t>
      </w:r>
      <w:r w:rsidR="001F76A7">
        <w:t xml:space="preserve"> that will be disseminated in hard copy and online. The Tool Kit includes </w:t>
      </w:r>
      <w:r w:rsidR="00681948">
        <w:t xml:space="preserve">resources to support comprehensive sexual health histories. </w:t>
      </w:r>
      <w:r w:rsidR="00920B54">
        <w:t>T</w:t>
      </w:r>
      <w:r w:rsidR="004503A2">
        <w:t>he Connecticut Sexual Health Coalition will begin meeting again in 2025</w:t>
      </w:r>
      <w:r w:rsidR="00920B54">
        <w:t xml:space="preserve"> and will coordinate work with the CHPC.</w:t>
      </w:r>
    </w:p>
    <w:p w14:paraId="034B08FD" w14:textId="18B010F9" w:rsidR="00B54BAA" w:rsidRDefault="00B54BAA" w:rsidP="00C10A66">
      <w:pPr>
        <w:spacing w:after="140" w:line="250" w:lineRule="auto"/>
        <w:jc w:val="both"/>
      </w:pPr>
      <w:r>
        <w:rPr>
          <w:b/>
          <w:bCs/>
        </w:rPr>
        <w:t>CT DMHAS</w:t>
      </w:r>
      <w:r w:rsidR="00521BE1">
        <w:rPr>
          <w:b/>
          <w:bCs/>
        </w:rPr>
        <w:t xml:space="preserve">. </w:t>
      </w:r>
      <w:r w:rsidR="000552B7" w:rsidRPr="00B97FED">
        <w:t xml:space="preserve">Natalie DuMont </w:t>
      </w:r>
      <w:r w:rsidR="007B68D6" w:rsidRPr="00B97FED">
        <w:t xml:space="preserve">shared that </w:t>
      </w:r>
      <w:r w:rsidR="005A45CA" w:rsidRPr="00B97FED">
        <w:t>th</w:t>
      </w:r>
      <w:r w:rsidR="005A45CA">
        <w:t xml:space="preserve">e most logical connection for the emerging </w:t>
      </w:r>
      <w:r w:rsidR="00B97FED">
        <w:t>referral mechanisms might be the Regional Behavioral Health Action Organizations (RBHAOs) and</w:t>
      </w:r>
      <w:r w:rsidR="00DB25A4">
        <w:t xml:space="preserve"> perhaps work with </w:t>
      </w:r>
      <w:r w:rsidR="001570C6">
        <w:t xml:space="preserve">regional or statewide treatment providers, particularly those funded by DMHAS. </w:t>
      </w:r>
      <w:r w:rsidR="00E30448">
        <w:t xml:space="preserve">It may be helpful to identify an entity that could conduct a mid-level assessment </w:t>
      </w:r>
      <w:r w:rsidR="0028258D">
        <w:t>instead of a treatment provider</w:t>
      </w:r>
      <w:r w:rsidR="00F0743E">
        <w:t xml:space="preserve">. </w:t>
      </w:r>
    </w:p>
    <w:p w14:paraId="02D0ACA9" w14:textId="2244492C" w:rsidR="00521BE1" w:rsidRPr="00FC6012" w:rsidRDefault="00521BE1" w:rsidP="00521BE1">
      <w:pPr>
        <w:spacing w:after="60" w:line="25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ETS COMMITTEE PROJECTS </w:t>
      </w:r>
    </w:p>
    <w:p w14:paraId="1DD3E290" w14:textId="4418D0B6" w:rsidR="00521BE1" w:rsidRDefault="003378F1" w:rsidP="00E741AF">
      <w:pPr>
        <w:spacing w:after="120" w:line="250" w:lineRule="auto"/>
        <w:jc w:val="both"/>
      </w:pPr>
      <w:r>
        <w:t xml:space="preserve">The ETS Chair and CT DPH Resource Liaison </w:t>
      </w:r>
      <w:r w:rsidR="0077708A">
        <w:t xml:space="preserve">shared updates on the priority workplan items for the ETS during 2024. </w:t>
      </w:r>
    </w:p>
    <w:p w14:paraId="651D17B4" w14:textId="4CEF0789" w:rsidR="00F06F57" w:rsidRDefault="005B354C" w:rsidP="00E741AF">
      <w:pPr>
        <w:pStyle w:val="ListParagraph"/>
        <w:numPr>
          <w:ilvl w:val="0"/>
          <w:numId w:val="1"/>
        </w:numPr>
        <w:spacing w:after="120" w:line="250" w:lineRule="auto"/>
        <w:ind w:right="576"/>
        <w:contextualSpacing w:val="0"/>
        <w:jc w:val="both"/>
      </w:pPr>
      <w:r>
        <w:t xml:space="preserve">ADOPTION OF </w:t>
      </w:r>
      <w:r w:rsidR="001A7C98">
        <w:t>ROUTINE HIV TESTING</w:t>
      </w:r>
      <w:r w:rsidR="00F05464">
        <w:t xml:space="preserve"> ACROSS </w:t>
      </w:r>
      <w:r w:rsidR="00E029EE">
        <w:t>ALL SETTINGS &amp; EMERGENCY DEPARTMENTS</w:t>
      </w:r>
      <w:r w:rsidR="001A7C98">
        <w:t xml:space="preserve">. </w:t>
      </w:r>
      <w:r w:rsidR="00C60D99">
        <w:t>Partners</w:t>
      </w:r>
      <w:r w:rsidR="00265F32">
        <w:t xml:space="preserve">. </w:t>
      </w:r>
      <w:proofErr w:type="gramStart"/>
      <w:r w:rsidR="00265F32">
        <w:t>Several</w:t>
      </w:r>
      <w:proofErr w:type="gramEnd"/>
      <w:r w:rsidR="00265F32">
        <w:t xml:space="preserve"> </w:t>
      </w:r>
      <w:r w:rsidR="00B8082E">
        <w:t>participants shared success stories about the implementation of routine testing across different healthcare settings including the Emergency Depart</w:t>
      </w:r>
      <w:r w:rsidR="00625C60">
        <w:t>ments</w:t>
      </w:r>
      <w:r w:rsidR="00744888">
        <w:t xml:space="preserve"> as well as in school-base</w:t>
      </w:r>
      <w:r w:rsidR="0091492B">
        <w:t>d</w:t>
      </w:r>
      <w:r w:rsidR="00744888">
        <w:t xml:space="preserve"> health </w:t>
      </w:r>
      <w:r w:rsidR="0091492B">
        <w:t>centers</w:t>
      </w:r>
      <w:r w:rsidR="00625C60">
        <w:t xml:space="preserve">. </w:t>
      </w:r>
      <w:r w:rsidR="00213058">
        <w:t xml:space="preserve">For example, Yale New Haven Hospital ED </w:t>
      </w:r>
      <w:r w:rsidR="00CF69FD">
        <w:t xml:space="preserve">identified 15 new HIV diagnoses through the Emergency Department protocol. </w:t>
      </w:r>
      <w:r w:rsidR="00AF1816">
        <w:t xml:space="preserve">Participants were encouraged to take </w:t>
      </w:r>
      <w:r w:rsidR="00A763E4">
        <w:t xml:space="preserve">Routine HIV Testing Tool Kits </w:t>
      </w:r>
      <w:r w:rsidR="00AF1816">
        <w:t>available at the meeting registration table</w:t>
      </w:r>
      <w:r w:rsidR="008864BB">
        <w:t xml:space="preserve">. </w:t>
      </w:r>
    </w:p>
    <w:p w14:paraId="2D8B6072" w14:textId="5F0C1A23" w:rsidR="00F06F57" w:rsidRDefault="00F06F57" w:rsidP="00E741AF">
      <w:pPr>
        <w:pStyle w:val="ListParagraph"/>
        <w:numPr>
          <w:ilvl w:val="0"/>
          <w:numId w:val="1"/>
        </w:numPr>
        <w:spacing w:after="120" w:line="250" w:lineRule="auto"/>
        <w:ind w:right="576"/>
        <w:contextualSpacing w:val="0"/>
        <w:jc w:val="both"/>
      </w:pPr>
      <w:r>
        <w:t xml:space="preserve">SYNDEMIC SCREENER PILOT. </w:t>
      </w:r>
      <w:r w:rsidR="00FD111A">
        <w:t>The Syndemic Screener tool was developed and piloted with a small set or organization</w:t>
      </w:r>
      <w:r w:rsidR="0091492B">
        <w:t xml:space="preserve">s using English and Spanish versions. </w:t>
      </w:r>
      <w:r w:rsidR="009B32AA">
        <w:t>Provider feedback to the screener was positive</w:t>
      </w:r>
      <w:r w:rsidR="00831468">
        <w:t xml:space="preserve">. However, questions remain about an easy-to-use and reliable referral process to connect patients to </w:t>
      </w:r>
      <w:r w:rsidR="001502C6">
        <w:t xml:space="preserve">(external) providers in the event the patient </w:t>
      </w:r>
      <w:r w:rsidR="0056255A">
        <w:t xml:space="preserve">needs help. </w:t>
      </w:r>
    </w:p>
    <w:p w14:paraId="7A5AE19C" w14:textId="472376F8" w:rsidR="00F06F57" w:rsidRDefault="005B354C" w:rsidP="00E741AF">
      <w:pPr>
        <w:pStyle w:val="ListParagraph"/>
        <w:numPr>
          <w:ilvl w:val="0"/>
          <w:numId w:val="1"/>
        </w:numPr>
        <w:spacing w:after="120" w:line="250" w:lineRule="auto"/>
        <w:ind w:right="576"/>
        <w:contextualSpacing w:val="0"/>
        <w:jc w:val="both"/>
      </w:pPr>
      <w:r>
        <w:t xml:space="preserve">OTHER. </w:t>
      </w:r>
      <w:proofErr w:type="gramStart"/>
      <w:r w:rsidR="00106336">
        <w:t>Several</w:t>
      </w:r>
      <w:proofErr w:type="gramEnd"/>
      <w:r w:rsidR="00106336">
        <w:t xml:space="preserve"> participants shared about their organization’s efforts to implement a syndemic approach or to </w:t>
      </w:r>
      <w:r w:rsidR="007475F1">
        <w:t xml:space="preserve">support evidence-based practices for routine testing as well as use of </w:t>
      </w:r>
      <w:r w:rsidR="00055DF7">
        <w:t xml:space="preserve">shared </w:t>
      </w:r>
      <w:r w:rsidR="007475F1">
        <w:t>resources (e.g., website, messages</w:t>
      </w:r>
      <w:r w:rsidR="00055DF7">
        <w:t xml:space="preserve">) and professional development. </w:t>
      </w:r>
      <w:r w:rsidR="00B24B60">
        <w:t xml:space="preserve">Regional and local implementation is occurring although it may not be highly visible. </w:t>
      </w:r>
    </w:p>
    <w:p w14:paraId="282F617C" w14:textId="2190C7A8" w:rsidR="00AA48CA" w:rsidRDefault="009A63DB" w:rsidP="005B2830">
      <w:pPr>
        <w:spacing w:after="60" w:line="25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2025 EMERGING DIRECTIONS FOR ETS WORKPLAN </w:t>
      </w:r>
    </w:p>
    <w:p w14:paraId="2844E616" w14:textId="466EA95D" w:rsidR="008E32E7" w:rsidRPr="008E32E7" w:rsidRDefault="00F349CC" w:rsidP="008E32E7">
      <w:pPr>
        <w:pStyle w:val="ListParagraph"/>
        <w:spacing w:after="120" w:line="250" w:lineRule="auto"/>
        <w:ind w:left="0"/>
        <w:contextualSpacing w:val="0"/>
        <w:rPr>
          <w:color w:val="000000" w:themeColor="text1"/>
        </w:rPr>
      </w:pPr>
      <w:r w:rsidRPr="00C60D99">
        <w:rPr>
          <w:color w:val="000000" w:themeColor="text1"/>
        </w:rPr>
        <w:t>The</w:t>
      </w:r>
      <w:r>
        <w:rPr>
          <w:color w:val="000000" w:themeColor="text1"/>
        </w:rPr>
        <w:t xml:space="preserve"> ETS Chair and CT DPH Resource Liaison asked the</w:t>
      </w:r>
      <w:r w:rsidRPr="00C60D99">
        <w:rPr>
          <w:color w:val="000000" w:themeColor="text1"/>
        </w:rPr>
        <w:t xml:space="preserve"> group </w:t>
      </w:r>
      <w:r>
        <w:rPr>
          <w:color w:val="000000" w:themeColor="text1"/>
        </w:rPr>
        <w:t>to identify</w:t>
      </w:r>
      <w:r w:rsidRPr="00C60D9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gaps, barriers, and opportunities </w:t>
      </w:r>
      <w:r w:rsidR="00582B37">
        <w:rPr>
          <w:color w:val="000000" w:themeColor="text1"/>
        </w:rPr>
        <w:t>that may be relevant to building the 2025 ETS workplan. Participants</w:t>
      </w:r>
      <w:r w:rsidR="00C376E6">
        <w:rPr>
          <w:color w:val="000000" w:themeColor="text1"/>
        </w:rPr>
        <w:t xml:space="preserve"> shared the following themes: </w:t>
      </w:r>
    </w:p>
    <w:p w14:paraId="4EA419AA" w14:textId="4FFFED71" w:rsidR="00C376E6" w:rsidRDefault="00036BD2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More </w:t>
      </w:r>
      <w:r w:rsidR="00586C8F">
        <w:rPr>
          <w:color w:val="000000" w:themeColor="text1"/>
        </w:rPr>
        <w:t xml:space="preserve">general </w:t>
      </w:r>
      <w:r>
        <w:rPr>
          <w:color w:val="000000" w:themeColor="text1"/>
        </w:rPr>
        <w:t>provider education opportunities</w:t>
      </w:r>
      <w:r w:rsidR="005733D4">
        <w:rPr>
          <w:color w:val="000000" w:themeColor="text1"/>
        </w:rPr>
        <w:t xml:space="preserve"> about routine testing</w:t>
      </w:r>
      <w:r>
        <w:rPr>
          <w:color w:val="000000" w:themeColor="text1"/>
        </w:rPr>
        <w:t xml:space="preserve"> </w:t>
      </w:r>
      <w:r w:rsidR="00586C8F">
        <w:rPr>
          <w:color w:val="000000" w:themeColor="text1"/>
        </w:rPr>
        <w:t>(e.g., it’s the law, initial impact, toolkit, resources available)</w:t>
      </w:r>
    </w:p>
    <w:p w14:paraId="6E0CCE8F" w14:textId="5CFC4C3A" w:rsidR="005733D4" w:rsidRDefault="005733D4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Specific provider </w:t>
      </w:r>
      <w:r w:rsidR="00B07F7C">
        <w:rPr>
          <w:color w:val="000000" w:themeColor="text1"/>
        </w:rPr>
        <w:t xml:space="preserve">/ workforce </w:t>
      </w:r>
      <w:r>
        <w:rPr>
          <w:color w:val="000000" w:themeColor="text1"/>
        </w:rPr>
        <w:t>education</w:t>
      </w:r>
      <w:r w:rsidR="00B07F7C">
        <w:rPr>
          <w:color w:val="000000" w:themeColor="text1"/>
        </w:rPr>
        <w:t xml:space="preserve"> and professional development</w:t>
      </w:r>
      <w:r>
        <w:rPr>
          <w:color w:val="000000" w:themeColor="text1"/>
        </w:rPr>
        <w:t xml:space="preserve"> around critical topics (e.g., taking a comprehensive sexual health history</w:t>
      </w:r>
      <w:r w:rsidR="00F82E45">
        <w:rPr>
          <w:color w:val="000000" w:themeColor="text1"/>
        </w:rPr>
        <w:t>, confidentiality and implications for sharing based on public or private insurance</w:t>
      </w:r>
      <w:r w:rsidR="00B07F7C">
        <w:rPr>
          <w:color w:val="000000" w:themeColor="text1"/>
        </w:rPr>
        <w:t>, unconscious bias, reducing stigma</w:t>
      </w:r>
      <w:r w:rsidR="00F82E45">
        <w:rPr>
          <w:color w:val="000000" w:themeColor="text1"/>
        </w:rPr>
        <w:t>)</w:t>
      </w:r>
    </w:p>
    <w:p w14:paraId="074D48CB" w14:textId="077303BA" w:rsidR="00036BD2" w:rsidRDefault="00036BD2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More robust communications and messaging (e.g., social media)</w:t>
      </w:r>
      <w:r w:rsidR="00272E45">
        <w:rPr>
          <w:color w:val="000000" w:themeColor="text1"/>
        </w:rPr>
        <w:t>, including improving e-mail content to include QR codes or access to short videos</w:t>
      </w:r>
      <w:r w:rsidR="00C54BF4">
        <w:rPr>
          <w:color w:val="000000" w:themeColor="text1"/>
        </w:rPr>
        <w:t xml:space="preserve"> and sharing of best practices </w:t>
      </w:r>
      <w:r w:rsidR="00ED77DE">
        <w:rPr>
          <w:color w:val="000000" w:themeColor="text1"/>
        </w:rPr>
        <w:t>(e.g., posters with QR codes)</w:t>
      </w:r>
    </w:p>
    <w:p w14:paraId="411FE6F2" w14:textId="60176EB6" w:rsidR="00652F4E" w:rsidRDefault="00652F4E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Better promotion and use of </w:t>
      </w:r>
      <w:r w:rsidR="00C236E9">
        <w:rPr>
          <w:color w:val="000000" w:themeColor="text1"/>
        </w:rPr>
        <w:t>existing resources such as resources by zip code available on Ending the Syndemic and Positive Prevention CT</w:t>
      </w:r>
    </w:p>
    <w:p w14:paraId="0C9E6B8C" w14:textId="4536F6B0" w:rsidR="00E862ED" w:rsidRDefault="00E862ED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Review of materials and messaging </w:t>
      </w:r>
      <w:r w:rsidR="00947785">
        <w:rPr>
          <w:color w:val="000000" w:themeColor="text1"/>
        </w:rPr>
        <w:t xml:space="preserve">as it relates to health literacy </w:t>
      </w:r>
    </w:p>
    <w:p w14:paraId="3EBACCBB" w14:textId="62F804E8" w:rsidR="0012256E" w:rsidRDefault="0012256E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Easier to navigate websites or merging of multiple websites (e.g., Ending the Syndemic, Positive Prevention CT, CHPC)</w:t>
      </w:r>
    </w:p>
    <w:p w14:paraId="3E5623C4" w14:textId="506C0749" w:rsidR="00036BD2" w:rsidRDefault="00EC5D0A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Easy access regional contact list that connects Syndemic Screener to </w:t>
      </w:r>
      <w:r w:rsidR="000A0094">
        <w:rPr>
          <w:color w:val="000000" w:themeColor="text1"/>
        </w:rPr>
        <w:t xml:space="preserve">a primary referral mechanism or direct access to a provider resource </w:t>
      </w:r>
    </w:p>
    <w:p w14:paraId="1BEC24B7" w14:textId="4ADA64B2" w:rsidR="000A0094" w:rsidRDefault="008C5DAB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Specific outreach to </w:t>
      </w:r>
      <w:r w:rsidR="00270ED3">
        <w:rPr>
          <w:color w:val="000000" w:themeColor="text1"/>
        </w:rPr>
        <w:t xml:space="preserve">critical partners such as </w:t>
      </w:r>
      <w:r>
        <w:rPr>
          <w:color w:val="000000" w:themeColor="text1"/>
        </w:rPr>
        <w:t>school-based health clinics (SBHCs)</w:t>
      </w:r>
      <w:r w:rsidR="00270ED3">
        <w:rPr>
          <w:color w:val="000000" w:themeColor="text1"/>
        </w:rPr>
        <w:t>, Regional Behavioral Health Action Organizations (RBHAOs)</w:t>
      </w:r>
      <w:r w:rsidR="000B5411">
        <w:rPr>
          <w:color w:val="000000" w:themeColor="text1"/>
        </w:rPr>
        <w:t xml:space="preserve">, Connecticut Hospital Association (CHA), Connecticut Alliance (Alliance) of nonprofit providers including behavioral health, </w:t>
      </w:r>
      <w:r w:rsidR="000303FC">
        <w:rPr>
          <w:color w:val="000000" w:themeColor="text1"/>
        </w:rPr>
        <w:t>and community-based partners</w:t>
      </w:r>
    </w:p>
    <w:p w14:paraId="00D035A5" w14:textId="2EB41E9E" w:rsidR="00F00FBA" w:rsidRDefault="00B627C6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Change to Explanation of Benefits (EOB) insurance statements, particularly for </w:t>
      </w:r>
      <w:r w:rsidR="007F1572">
        <w:rPr>
          <w:color w:val="000000" w:themeColor="text1"/>
        </w:rPr>
        <w:t xml:space="preserve">individuals under 26 years of age who are covered by a parent/guardian’s insurance and receive detailed information about </w:t>
      </w:r>
      <w:r w:rsidR="00DB027A">
        <w:rPr>
          <w:color w:val="000000" w:themeColor="text1"/>
        </w:rPr>
        <w:t xml:space="preserve">claims (e.g., HIV tests, PrEP medications) that may cause </w:t>
      </w:r>
      <w:r w:rsidR="00E741AF">
        <w:rPr>
          <w:color w:val="000000" w:themeColor="text1"/>
        </w:rPr>
        <w:t>the individual to forego care</w:t>
      </w:r>
    </w:p>
    <w:p w14:paraId="676A37B2" w14:textId="1C996411" w:rsidR="00E741AF" w:rsidRDefault="00146FD0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Processes to document impact of ETS projects (e.g., success stories about </w:t>
      </w:r>
      <w:r w:rsidR="00263161">
        <w:rPr>
          <w:color w:val="000000" w:themeColor="text1"/>
        </w:rPr>
        <w:t xml:space="preserve">identifying PWH in the Emergency Departments, best practices in use </w:t>
      </w:r>
      <w:r w:rsidR="007D287F">
        <w:rPr>
          <w:color w:val="000000" w:themeColor="text1"/>
        </w:rPr>
        <w:t>by healthcare systems of electronic health records (EHRs))</w:t>
      </w:r>
    </w:p>
    <w:p w14:paraId="0216A1CD" w14:textId="6F0681A5" w:rsidR="007D287F" w:rsidRDefault="006627BB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Providing technical assistance and capacity building support to </w:t>
      </w:r>
      <w:r w:rsidR="007411CF">
        <w:rPr>
          <w:color w:val="000000" w:themeColor="text1"/>
        </w:rPr>
        <w:t>providers interested in implementing best practice models (e.g., EHR automated nudges or messaging)</w:t>
      </w:r>
    </w:p>
    <w:p w14:paraId="22DFD461" w14:textId="5FFF0F94" w:rsidR="00E862ED" w:rsidRDefault="00F70473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Ensuring that contracts include the use of </w:t>
      </w:r>
      <w:r w:rsidR="00E862ED">
        <w:rPr>
          <w:color w:val="000000" w:themeColor="text1"/>
        </w:rPr>
        <w:t xml:space="preserve">“whole person” or </w:t>
      </w:r>
      <w:r>
        <w:rPr>
          <w:color w:val="000000" w:themeColor="text1"/>
        </w:rPr>
        <w:t>routine testing and syndemic screening best practice models</w:t>
      </w:r>
    </w:p>
    <w:p w14:paraId="78FA13C9" w14:textId="43E3729B" w:rsidR="00225AFC" w:rsidRPr="00E862ED" w:rsidRDefault="00225AFC" w:rsidP="008047E6">
      <w:pPr>
        <w:pStyle w:val="ListParagraph"/>
        <w:numPr>
          <w:ilvl w:val="0"/>
          <w:numId w:val="2"/>
        </w:numPr>
        <w:spacing w:after="120" w:line="250" w:lineRule="auto"/>
        <w:ind w:right="57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Promotion of </w:t>
      </w:r>
      <w:r w:rsidR="00243FB5">
        <w:rPr>
          <w:color w:val="000000" w:themeColor="text1"/>
        </w:rPr>
        <w:t>innovative or forward-looking rapid, syndemic testing approaches</w:t>
      </w:r>
      <w:r w:rsidR="004F63F6">
        <w:rPr>
          <w:color w:val="000000" w:themeColor="text1"/>
        </w:rPr>
        <w:t xml:space="preserve"> (e.g., rapid syphilis tests)</w:t>
      </w:r>
    </w:p>
    <w:p w14:paraId="50045184" w14:textId="543181A3" w:rsidR="009A63DB" w:rsidRPr="00854534" w:rsidRDefault="00854534" w:rsidP="005B2830">
      <w:pPr>
        <w:spacing w:after="60" w:line="250" w:lineRule="auto"/>
        <w:rPr>
          <w:color w:val="000000" w:themeColor="text1"/>
        </w:rPr>
      </w:pPr>
      <w:r w:rsidRPr="00854534">
        <w:rPr>
          <w:color w:val="000000" w:themeColor="text1"/>
        </w:rPr>
        <w:t xml:space="preserve">The chair encouraged ETS Committee participants to </w:t>
      </w:r>
      <w:r w:rsidR="000F6870">
        <w:rPr>
          <w:color w:val="000000" w:themeColor="text1"/>
        </w:rPr>
        <w:t xml:space="preserve">share information back to their communities and to bring information from the community to the </w:t>
      </w:r>
      <w:r w:rsidR="00106336">
        <w:rPr>
          <w:color w:val="000000" w:themeColor="text1"/>
        </w:rPr>
        <w:t xml:space="preserve">ETS Committee. </w:t>
      </w:r>
    </w:p>
    <w:p w14:paraId="7137AB66" w14:textId="18E8A8AF" w:rsidR="00AA48CA" w:rsidRPr="00FC6012" w:rsidRDefault="00FC6012" w:rsidP="005B2830">
      <w:pPr>
        <w:spacing w:after="60" w:line="250" w:lineRule="auto"/>
        <w:rPr>
          <w:b/>
          <w:bCs/>
          <w:color w:val="156082" w:themeColor="accent1"/>
        </w:rPr>
      </w:pPr>
      <w:r w:rsidRPr="00FC6012">
        <w:rPr>
          <w:b/>
          <w:bCs/>
          <w:color w:val="156082" w:themeColor="accent1"/>
        </w:rPr>
        <w:t xml:space="preserve">MEETING FEEDBACK </w:t>
      </w:r>
    </w:p>
    <w:p w14:paraId="5160369A" w14:textId="54EB4ED9" w:rsidR="00FC6012" w:rsidRDefault="009979D3" w:rsidP="00717772">
      <w:pPr>
        <w:spacing w:after="140" w:line="250" w:lineRule="auto"/>
        <w:jc w:val="both"/>
      </w:pPr>
      <w:r>
        <w:t xml:space="preserve">Participants </w:t>
      </w:r>
      <w:r w:rsidR="009A63DB">
        <w:t xml:space="preserve">were encouraged to share their feedback on the CHPC feedback form available in paper copy or accessible through a </w:t>
      </w:r>
      <w:r w:rsidR="00717772">
        <w:t>weblink or QR code</w:t>
      </w:r>
      <w:r w:rsidR="008864BB">
        <w:t xml:space="preserve">. </w:t>
      </w:r>
    </w:p>
    <w:p w14:paraId="6D2861F5" w14:textId="704236C5" w:rsidR="00FC6012" w:rsidRPr="00F9144B" w:rsidRDefault="00FC6012" w:rsidP="005B2830">
      <w:pPr>
        <w:spacing w:after="60" w:line="250" w:lineRule="auto"/>
        <w:rPr>
          <w:b/>
          <w:bCs/>
          <w:color w:val="156082" w:themeColor="accent1"/>
        </w:rPr>
      </w:pPr>
      <w:r w:rsidRPr="00F9144B">
        <w:rPr>
          <w:b/>
          <w:bCs/>
          <w:color w:val="156082" w:themeColor="accent1"/>
        </w:rPr>
        <w:t>ADOURN</w:t>
      </w:r>
    </w:p>
    <w:p w14:paraId="03A32620" w14:textId="161BC525" w:rsidR="00FC6012" w:rsidRDefault="002F47A6" w:rsidP="00FC6012">
      <w:pPr>
        <w:spacing w:after="140" w:line="250" w:lineRule="auto"/>
      </w:pPr>
      <w:r>
        <w:t xml:space="preserve">The </w:t>
      </w:r>
      <w:r w:rsidR="009A63DB">
        <w:t xml:space="preserve">ETS Chair </w:t>
      </w:r>
      <w:r w:rsidR="00FA769F">
        <w:t xml:space="preserve">adjourned the meeting at </w:t>
      </w:r>
      <w:r w:rsidR="009A63DB">
        <w:t>2</w:t>
      </w:r>
      <w:r w:rsidR="00FA769F">
        <w:t xml:space="preserve">:00 </w:t>
      </w:r>
      <w:r w:rsidR="009A63DB">
        <w:t>p</w:t>
      </w:r>
      <w:r w:rsidR="00FA769F">
        <w:t xml:space="preserve">.m. </w:t>
      </w:r>
    </w:p>
    <w:p w14:paraId="73866C4B" w14:textId="3CA66C9D" w:rsidR="00AC1195" w:rsidRPr="005B2830" w:rsidRDefault="005B2830" w:rsidP="005B2830">
      <w:pPr>
        <w:spacing w:after="60" w:line="250" w:lineRule="auto"/>
        <w:rPr>
          <w:b/>
          <w:bCs/>
        </w:rPr>
      </w:pPr>
      <w:r w:rsidRPr="005B2830">
        <w:rPr>
          <w:b/>
          <w:bCs/>
          <w:color w:val="156082" w:themeColor="accent1"/>
        </w:rPr>
        <w:t xml:space="preserve">ATTENDANCE </w:t>
      </w:r>
    </w:p>
    <w:p w14:paraId="70173782" w14:textId="673BC13F" w:rsidR="005B2830" w:rsidRDefault="005B2830" w:rsidP="00AC1195">
      <w:r>
        <w:t xml:space="preserve">Attendance records are kept on file with the CHPC support staff. </w:t>
      </w:r>
    </w:p>
    <w:p w14:paraId="5A034617" w14:textId="358968CE" w:rsidR="009E246C" w:rsidRPr="00AC1195" w:rsidRDefault="009E246C" w:rsidP="00AC1195">
      <w:r w:rsidRPr="00AC1195">
        <w:t xml:space="preserve"> </w:t>
      </w:r>
    </w:p>
    <w:sectPr w:rsidR="009E246C" w:rsidRPr="00AC1195" w:rsidSect="00910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576" w:bottom="144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B27D6" w14:textId="77777777" w:rsidR="00CE2A6D" w:rsidRDefault="00CE2A6D" w:rsidP="0048652B">
      <w:pPr>
        <w:spacing w:after="0" w:line="240" w:lineRule="auto"/>
      </w:pPr>
      <w:r>
        <w:separator/>
      </w:r>
    </w:p>
  </w:endnote>
  <w:endnote w:type="continuationSeparator" w:id="0">
    <w:p w14:paraId="27B1112E" w14:textId="77777777" w:rsidR="00CE2A6D" w:rsidRDefault="00CE2A6D" w:rsidP="0048652B">
      <w:pPr>
        <w:spacing w:after="0" w:line="240" w:lineRule="auto"/>
      </w:pPr>
      <w:r>
        <w:continuationSeparator/>
      </w:r>
    </w:p>
  </w:endnote>
  <w:endnote w:type="continuationNotice" w:id="1">
    <w:p w14:paraId="6F5231B5" w14:textId="77777777" w:rsidR="00CE2A6D" w:rsidRDefault="00CE2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119C" w14:textId="77777777" w:rsidR="00591E8C" w:rsidRDefault="00591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156B" w14:textId="22F1C7BF" w:rsidR="00D806EE" w:rsidRPr="00D806EE" w:rsidRDefault="00D806EE" w:rsidP="00D806EE">
    <w:pPr>
      <w:pStyle w:val="Footer"/>
      <w:jc w:val="center"/>
      <w:rPr>
        <w:sz w:val="20"/>
        <w:szCs w:val="20"/>
      </w:rPr>
    </w:pPr>
    <w:r w:rsidRPr="00D806EE">
      <w:rPr>
        <w:sz w:val="20"/>
        <w:szCs w:val="20"/>
      </w:rPr>
      <w:t xml:space="preserve">Page </w:t>
    </w:r>
    <w:r w:rsidRPr="00D806EE">
      <w:rPr>
        <w:sz w:val="20"/>
        <w:szCs w:val="20"/>
      </w:rPr>
      <w:fldChar w:fldCharType="begin"/>
    </w:r>
    <w:r w:rsidRPr="00D806EE">
      <w:rPr>
        <w:sz w:val="20"/>
        <w:szCs w:val="20"/>
      </w:rPr>
      <w:instrText xml:space="preserve"> PAGE   \* MERGEFORMAT </w:instrText>
    </w:r>
    <w:r w:rsidRPr="00D806EE">
      <w:rPr>
        <w:sz w:val="20"/>
        <w:szCs w:val="20"/>
      </w:rPr>
      <w:fldChar w:fldCharType="separate"/>
    </w:r>
    <w:r w:rsidRPr="00D806EE">
      <w:rPr>
        <w:noProof/>
        <w:sz w:val="20"/>
        <w:szCs w:val="20"/>
      </w:rPr>
      <w:t>1</w:t>
    </w:r>
    <w:r w:rsidRPr="00D806EE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9928" w14:textId="77777777" w:rsidR="00591E8C" w:rsidRDefault="00591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411D" w14:textId="77777777" w:rsidR="00CE2A6D" w:rsidRDefault="00CE2A6D" w:rsidP="0048652B">
      <w:pPr>
        <w:spacing w:after="0" w:line="240" w:lineRule="auto"/>
      </w:pPr>
      <w:r>
        <w:separator/>
      </w:r>
    </w:p>
  </w:footnote>
  <w:footnote w:type="continuationSeparator" w:id="0">
    <w:p w14:paraId="2EF3445F" w14:textId="77777777" w:rsidR="00CE2A6D" w:rsidRDefault="00CE2A6D" w:rsidP="0048652B">
      <w:pPr>
        <w:spacing w:after="0" w:line="240" w:lineRule="auto"/>
      </w:pPr>
      <w:r>
        <w:continuationSeparator/>
      </w:r>
    </w:p>
  </w:footnote>
  <w:footnote w:type="continuationNotice" w:id="1">
    <w:p w14:paraId="2A1C3F5F" w14:textId="77777777" w:rsidR="00CE2A6D" w:rsidRDefault="00CE2A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25FC" w14:textId="77777777" w:rsidR="00591E8C" w:rsidRDefault="00591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68EE" w14:textId="5AE0D7E4" w:rsidR="009105F6" w:rsidRPr="00E539A1" w:rsidRDefault="00591E8C" w:rsidP="009105F6">
    <w:pPr>
      <w:pStyle w:val="Header"/>
      <w:tabs>
        <w:tab w:val="clear" w:pos="9360"/>
      </w:tabs>
      <w:spacing w:after="80"/>
      <w:ind w:left="-180"/>
      <w:jc w:val="center"/>
      <w:rPr>
        <w:rFonts w:asciiTheme="majorHAnsi" w:hAnsiTheme="majorHAnsi"/>
        <w:b/>
        <w:bCs/>
        <w:color w:val="215E99" w:themeColor="text2" w:themeTint="BF"/>
        <w:sz w:val="36"/>
        <w:szCs w:val="36"/>
      </w:rPr>
    </w:pPr>
    <w:sdt>
      <w:sdtPr>
        <w:rPr>
          <w:rFonts w:asciiTheme="majorHAnsi" w:hAnsiTheme="majorHAnsi"/>
          <w:b/>
          <w:bCs/>
          <w:color w:val="215E99" w:themeColor="text2" w:themeTint="BF"/>
          <w:sz w:val="36"/>
          <w:szCs w:val="36"/>
        </w:rPr>
        <w:id w:val="-41060366"/>
        <w:docPartObj>
          <w:docPartGallery w:val="Watermarks"/>
          <w:docPartUnique/>
        </w:docPartObj>
      </w:sdtPr>
      <w:sdtContent>
        <w:r w:rsidRPr="00591E8C">
          <w:rPr>
            <w:rFonts w:asciiTheme="majorHAnsi" w:hAnsiTheme="majorHAnsi"/>
            <w:b/>
            <w:bCs/>
            <w:noProof/>
            <w:color w:val="215E99" w:themeColor="text2" w:themeTint="BF"/>
            <w:sz w:val="36"/>
            <w:szCs w:val="36"/>
          </w:rPr>
          <w:pict w14:anchorId="76AB85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105F6">
      <w:rPr>
        <w:noProof/>
      </w:rPr>
      <w:drawing>
        <wp:anchor distT="0" distB="0" distL="114300" distR="114300" simplePos="0" relativeHeight="251658241" behindDoc="1" locked="0" layoutInCell="1" allowOverlap="1" wp14:anchorId="38AD75EC" wp14:editId="3A16EC02">
          <wp:simplePos x="0" y="0"/>
          <wp:positionH relativeFrom="margin">
            <wp:posOffset>-200025</wp:posOffset>
          </wp:positionH>
          <wp:positionV relativeFrom="paragraph">
            <wp:posOffset>-66675</wp:posOffset>
          </wp:positionV>
          <wp:extent cx="1270635" cy="657225"/>
          <wp:effectExtent l="0" t="0" r="5715" b="9525"/>
          <wp:wrapTight wrapText="bothSides">
            <wp:wrapPolygon edited="0">
              <wp:start x="0" y="0"/>
              <wp:lineTo x="0" y="21287"/>
              <wp:lineTo x="21373" y="21287"/>
              <wp:lineTo x="21373" y="0"/>
              <wp:lineTo x="0" y="0"/>
            </wp:wrapPolygon>
          </wp:wrapTight>
          <wp:docPr id="147629918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659886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79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F111AD" wp14:editId="385A492A">
              <wp:simplePos x="0" y="0"/>
              <wp:positionH relativeFrom="margin">
                <wp:align>right</wp:align>
              </wp:positionH>
              <wp:positionV relativeFrom="paragraph">
                <wp:posOffset>-142875</wp:posOffset>
              </wp:positionV>
              <wp:extent cx="895350" cy="819150"/>
              <wp:effectExtent l="0" t="0" r="0" b="0"/>
              <wp:wrapTight wrapText="bothSides">
                <wp:wrapPolygon edited="0">
                  <wp:start x="0" y="0"/>
                  <wp:lineTo x="0" y="21098"/>
                  <wp:lineTo x="21140" y="21098"/>
                  <wp:lineTo x="21140" y="0"/>
                  <wp:lineTo x="0" y="0"/>
                </wp:wrapPolygon>
              </wp:wrapTight>
              <wp:docPr id="18260293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3C6E8" w14:textId="77777777" w:rsidR="001A2798" w:rsidRDefault="001A2798" w:rsidP="001A27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298A2" wp14:editId="51465D56">
                                <wp:extent cx="608965" cy="718185"/>
                                <wp:effectExtent l="0" t="0" r="635" b="5715"/>
                                <wp:docPr id="1340016532" name="Picture 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3662995" name="Picture 3" descr="Logo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8965" cy="718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111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3pt;margin-top:-11.25pt;width:70.5pt;height:64.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" stroked="f">
              <v:textbox>
                <w:txbxContent>
                  <w:p w14:paraId="50F3C6E8" w14:textId="77777777" w:rsidR="001A2798" w:rsidRDefault="001A2798" w:rsidP="001A2798">
                    <w:r>
                      <w:rPr>
                        <w:noProof/>
                      </w:rPr>
                      <w:drawing>
                        <wp:inline distT="0" distB="0" distL="0" distR="0" wp14:anchorId="332298A2" wp14:editId="51465D56">
                          <wp:extent cx="608965" cy="718185"/>
                          <wp:effectExtent l="0" t="0" r="635" b="5715"/>
                          <wp:docPr id="1340016532" name="Picture 3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3662995" name="Picture 3" descr="Logo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8965" cy="718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9105F6" w:rsidRPr="009105F6">
      <w:rPr>
        <w:rFonts w:asciiTheme="majorHAnsi" w:hAnsiTheme="majorHAnsi"/>
        <w:b/>
        <w:bCs/>
        <w:color w:val="215E99" w:themeColor="text2" w:themeTint="BF"/>
        <w:sz w:val="36"/>
        <w:szCs w:val="36"/>
      </w:rPr>
      <w:t xml:space="preserve"> </w:t>
    </w:r>
    <w:r w:rsidR="009105F6" w:rsidRPr="00E539A1">
      <w:rPr>
        <w:rFonts w:asciiTheme="majorHAnsi" w:hAnsiTheme="majorHAnsi"/>
        <w:b/>
        <w:bCs/>
        <w:color w:val="215E99" w:themeColor="text2" w:themeTint="BF"/>
        <w:sz w:val="36"/>
        <w:szCs w:val="36"/>
      </w:rPr>
      <w:t>Connecticut HIV Planning Consortium</w:t>
    </w:r>
  </w:p>
  <w:p w14:paraId="3EF03C5C" w14:textId="4EB25AF2" w:rsidR="0048652B" w:rsidRPr="00006125" w:rsidRDefault="00E841CE" w:rsidP="00006125">
    <w:pPr>
      <w:pStyle w:val="Header"/>
      <w:spacing w:after="80"/>
      <w:ind w:left="-360"/>
      <w:jc w:val="center"/>
      <w:rPr>
        <w:b/>
        <w:bCs/>
        <w:color w:val="000000" w:themeColor="text1"/>
        <w:sz w:val="24"/>
        <w:szCs w:val="24"/>
      </w:rPr>
    </w:pPr>
    <w:r>
      <w:rPr>
        <w:b/>
        <w:bCs/>
        <w:color w:val="000000" w:themeColor="text1"/>
        <w:sz w:val="24"/>
        <w:szCs w:val="24"/>
      </w:rPr>
      <w:t>Ending the Syndemic Committee Meeting Summary</w:t>
    </w:r>
  </w:p>
  <w:p w14:paraId="067A9416" w14:textId="05063EC0" w:rsidR="00006125" w:rsidRPr="00006125" w:rsidRDefault="00E841CE" w:rsidP="00006125">
    <w:pPr>
      <w:pStyle w:val="Header"/>
      <w:spacing w:after="80"/>
      <w:ind w:left="-360"/>
      <w:jc w:val="center"/>
      <w:rPr>
        <w:sz w:val="24"/>
        <w:szCs w:val="24"/>
      </w:rPr>
    </w:pPr>
    <w:r>
      <w:rPr>
        <w:sz w:val="24"/>
        <w:szCs w:val="24"/>
      </w:rPr>
      <w:t>November 20</w:t>
    </w:r>
    <w:r w:rsidR="00006125" w:rsidRPr="00006125">
      <w:rPr>
        <w:sz w:val="24"/>
        <w:szCs w:val="24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DE43" w14:textId="77777777" w:rsidR="00591E8C" w:rsidRDefault="00591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7638"/>
    <w:multiLevelType w:val="hybridMultilevel"/>
    <w:tmpl w:val="D2220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7482"/>
    <w:multiLevelType w:val="hybridMultilevel"/>
    <w:tmpl w:val="E07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61889">
    <w:abstractNumId w:val="0"/>
  </w:num>
  <w:num w:numId="2" w16cid:durableId="152660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11"/>
    <w:rsid w:val="00006125"/>
    <w:rsid w:val="000210D3"/>
    <w:rsid w:val="000303FC"/>
    <w:rsid w:val="000343BE"/>
    <w:rsid w:val="00036BD2"/>
    <w:rsid w:val="000377EB"/>
    <w:rsid w:val="000552B7"/>
    <w:rsid w:val="00055DF7"/>
    <w:rsid w:val="00081E13"/>
    <w:rsid w:val="000A0094"/>
    <w:rsid w:val="000B5411"/>
    <w:rsid w:val="000D4C12"/>
    <w:rsid w:val="000F6870"/>
    <w:rsid w:val="00101D21"/>
    <w:rsid w:val="00106336"/>
    <w:rsid w:val="0012256E"/>
    <w:rsid w:val="001356BA"/>
    <w:rsid w:val="00145634"/>
    <w:rsid w:val="00146FD0"/>
    <w:rsid w:val="001502C6"/>
    <w:rsid w:val="0015288D"/>
    <w:rsid w:val="001570C6"/>
    <w:rsid w:val="00196EFD"/>
    <w:rsid w:val="001A2798"/>
    <w:rsid w:val="001A7C98"/>
    <w:rsid w:val="001C12D2"/>
    <w:rsid w:val="001F76A7"/>
    <w:rsid w:val="00213058"/>
    <w:rsid w:val="00214482"/>
    <w:rsid w:val="00215A08"/>
    <w:rsid w:val="00225AFC"/>
    <w:rsid w:val="002272D3"/>
    <w:rsid w:val="002310B5"/>
    <w:rsid w:val="00240BFD"/>
    <w:rsid w:val="00243FB5"/>
    <w:rsid w:val="00244B28"/>
    <w:rsid w:val="002522EE"/>
    <w:rsid w:val="00263161"/>
    <w:rsid w:val="002653F2"/>
    <w:rsid w:val="00265F32"/>
    <w:rsid w:val="0026773B"/>
    <w:rsid w:val="00270ED3"/>
    <w:rsid w:val="00272E45"/>
    <w:rsid w:val="00274A02"/>
    <w:rsid w:val="00275F25"/>
    <w:rsid w:val="0028258D"/>
    <w:rsid w:val="00297784"/>
    <w:rsid w:val="002D2D34"/>
    <w:rsid w:val="002D4D8A"/>
    <w:rsid w:val="002E0CF0"/>
    <w:rsid w:val="002E1A58"/>
    <w:rsid w:val="002E4FFA"/>
    <w:rsid w:val="002E6726"/>
    <w:rsid w:val="002E72F4"/>
    <w:rsid w:val="002F47A6"/>
    <w:rsid w:val="00303418"/>
    <w:rsid w:val="00303F2C"/>
    <w:rsid w:val="003100FC"/>
    <w:rsid w:val="00321307"/>
    <w:rsid w:val="00325A46"/>
    <w:rsid w:val="00331247"/>
    <w:rsid w:val="003378F1"/>
    <w:rsid w:val="003810EC"/>
    <w:rsid w:val="003A2901"/>
    <w:rsid w:val="003A7C90"/>
    <w:rsid w:val="00417324"/>
    <w:rsid w:val="00450037"/>
    <w:rsid w:val="004503A2"/>
    <w:rsid w:val="004713FC"/>
    <w:rsid w:val="0047204B"/>
    <w:rsid w:val="004838E4"/>
    <w:rsid w:val="0048652B"/>
    <w:rsid w:val="004B5B00"/>
    <w:rsid w:val="004C152F"/>
    <w:rsid w:val="004C5057"/>
    <w:rsid w:val="004C5174"/>
    <w:rsid w:val="004E54E2"/>
    <w:rsid w:val="004F63F6"/>
    <w:rsid w:val="005038F9"/>
    <w:rsid w:val="00505A11"/>
    <w:rsid w:val="00521BE1"/>
    <w:rsid w:val="005304BF"/>
    <w:rsid w:val="00533C2B"/>
    <w:rsid w:val="00556DAA"/>
    <w:rsid w:val="0056255A"/>
    <w:rsid w:val="005733D4"/>
    <w:rsid w:val="00582B37"/>
    <w:rsid w:val="00586C8F"/>
    <w:rsid w:val="00591E8C"/>
    <w:rsid w:val="005A45CA"/>
    <w:rsid w:val="005B1C58"/>
    <w:rsid w:val="005B2830"/>
    <w:rsid w:val="005B354C"/>
    <w:rsid w:val="005F259C"/>
    <w:rsid w:val="005F611D"/>
    <w:rsid w:val="005F6B99"/>
    <w:rsid w:val="006072A2"/>
    <w:rsid w:val="00611312"/>
    <w:rsid w:val="006253CF"/>
    <w:rsid w:val="00625C60"/>
    <w:rsid w:val="006270CA"/>
    <w:rsid w:val="00627EFD"/>
    <w:rsid w:val="006521B3"/>
    <w:rsid w:val="00652F4E"/>
    <w:rsid w:val="006627BB"/>
    <w:rsid w:val="00662BF7"/>
    <w:rsid w:val="00681948"/>
    <w:rsid w:val="006C2ACF"/>
    <w:rsid w:val="006C397A"/>
    <w:rsid w:val="00717772"/>
    <w:rsid w:val="007411CF"/>
    <w:rsid w:val="00743B19"/>
    <w:rsid w:val="007447D5"/>
    <w:rsid w:val="00744888"/>
    <w:rsid w:val="007475F1"/>
    <w:rsid w:val="00750CC5"/>
    <w:rsid w:val="0075627B"/>
    <w:rsid w:val="0077708A"/>
    <w:rsid w:val="00781C9F"/>
    <w:rsid w:val="00797FE5"/>
    <w:rsid w:val="007A5C27"/>
    <w:rsid w:val="007B68D6"/>
    <w:rsid w:val="007C6256"/>
    <w:rsid w:val="007D287F"/>
    <w:rsid w:val="007F1572"/>
    <w:rsid w:val="008047E6"/>
    <w:rsid w:val="00806D8F"/>
    <w:rsid w:val="00812288"/>
    <w:rsid w:val="008230C6"/>
    <w:rsid w:val="00823764"/>
    <w:rsid w:val="00831468"/>
    <w:rsid w:val="008444FF"/>
    <w:rsid w:val="00854534"/>
    <w:rsid w:val="00866609"/>
    <w:rsid w:val="008803DF"/>
    <w:rsid w:val="008863BB"/>
    <w:rsid w:val="008864BB"/>
    <w:rsid w:val="008A764D"/>
    <w:rsid w:val="008B6BBB"/>
    <w:rsid w:val="008C5DAB"/>
    <w:rsid w:val="008D6BBD"/>
    <w:rsid w:val="008E32E7"/>
    <w:rsid w:val="008E5515"/>
    <w:rsid w:val="009105F6"/>
    <w:rsid w:val="00913ABC"/>
    <w:rsid w:val="0091492B"/>
    <w:rsid w:val="00920B54"/>
    <w:rsid w:val="00921FB3"/>
    <w:rsid w:val="00947785"/>
    <w:rsid w:val="00963071"/>
    <w:rsid w:val="00963F9B"/>
    <w:rsid w:val="00990B93"/>
    <w:rsid w:val="00995D31"/>
    <w:rsid w:val="009968C1"/>
    <w:rsid w:val="009979D3"/>
    <w:rsid w:val="009A63DB"/>
    <w:rsid w:val="009B32AA"/>
    <w:rsid w:val="009D5348"/>
    <w:rsid w:val="009E246C"/>
    <w:rsid w:val="009E75D4"/>
    <w:rsid w:val="009F7056"/>
    <w:rsid w:val="00A009B8"/>
    <w:rsid w:val="00A02E3E"/>
    <w:rsid w:val="00A27E2B"/>
    <w:rsid w:val="00A57F21"/>
    <w:rsid w:val="00A73624"/>
    <w:rsid w:val="00A763E4"/>
    <w:rsid w:val="00A9324C"/>
    <w:rsid w:val="00AA48CA"/>
    <w:rsid w:val="00AC1195"/>
    <w:rsid w:val="00AC463F"/>
    <w:rsid w:val="00AF1816"/>
    <w:rsid w:val="00B007B8"/>
    <w:rsid w:val="00B07F7C"/>
    <w:rsid w:val="00B24137"/>
    <w:rsid w:val="00B24B60"/>
    <w:rsid w:val="00B25BCD"/>
    <w:rsid w:val="00B36959"/>
    <w:rsid w:val="00B4361B"/>
    <w:rsid w:val="00B54BAA"/>
    <w:rsid w:val="00B57370"/>
    <w:rsid w:val="00B62088"/>
    <w:rsid w:val="00B627C6"/>
    <w:rsid w:val="00B8082E"/>
    <w:rsid w:val="00B832F9"/>
    <w:rsid w:val="00B870C1"/>
    <w:rsid w:val="00B9199B"/>
    <w:rsid w:val="00B97FED"/>
    <w:rsid w:val="00BD3017"/>
    <w:rsid w:val="00BE4441"/>
    <w:rsid w:val="00BF2A72"/>
    <w:rsid w:val="00C10A66"/>
    <w:rsid w:val="00C236E9"/>
    <w:rsid w:val="00C3690E"/>
    <w:rsid w:val="00C376E6"/>
    <w:rsid w:val="00C54BF4"/>
    <w:rsid w:val="00C60D99"/>
    <w:rsid w:val="00C619C3"/>
    <w:rsid w:val="00C73EC3"/>
    <w:rsid w:val="00CB27AA"/>
    <w:rsid w:val="00CE2A6D"/>
    <w:rsid w:val="00CF60FF"/>
    <w:rsid w:val="00CF69FD"/>
    <w:rsid w:val="00D258CA"/>
    <w:rsid w:val="00D365BE"/>
    <w:rsid w:val="00D633AC"/>
    <w:rsid w:val="00D806EE"/>
    <w:rsid w:val="00D846D5"/>
    <w:rsid w:val="00D87EBF"/>
    <w:rsid w:val="00DA296B"/>
    <w:rsid w:val="00DB027A"/>
    <w:rsid w:val="00DB25A4"/>
    <w:rsid w:val="00DD4EE3"/>
    <w:rsid w:val="00DF2FAE"/>
    <w:rsid w:val="00E029EE"/>
    <w:rsid w:val="00E15254"/>
    <w:rsid w:val="00E16923"/>
    <w:rsid w:val="00E209D6"/>
    <w:rsid w:val="00E23EDD"/>
    <w:rsid w:val="00E30448"/>
    <w:rsid w:val="00E444E8"/>
    <w:rsid w:val="00E50A7C"/>
    <w:rsid w:val="00E55BC2"/>
    <w:rsid w:val="00E5669F"/>
    <w:rsid w:val="00E64566"/>
    <w:rsid w:val="00E741AF"/>
    <w:rsid w:val="00E841CE"/>
    <w:rsid w:val="00E862ED"/>
    <w:rsid w:val="00EA4F56"/>
    <w:rsid w:val="00EC20E6"/>
    <w:rsid w:val="00EC5D0A"/>
    <w:rsid w:val="00ED77DE"/>
    <w:rsid w:val="00F00FBA"/>
    <w:rsid w:val="00F05464"/>
    <w:rsid w:val="00F06F57"/>
    <w:rsid w:val="00F0743E"/>
    <w:rsid w:val="00F349CC"/>
    <w:rsid w:val="00F47A52"/>
    <w:rsid w:val="00F62AEC"/>
    <w:rsid w:val="00F655C8"/>
    <w:rsid w:val="00F70473"/>
    <w:rsid w:val="00F71279"/>
    <w:rsid w:val="00F7368B"/>
    <w:rsid w:val="00F82E45"/>
    <w:rsid w:val="00F9144B"/>
    <w:rsid w:val="00F95CEE"/>
    <w:rsid w:val="00FA239C"/>
    <w:rsid w:val="00FA769F"/>
    <w:rsid w:val="00FC6012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96BD9"/>
  <w15:chartTrackingRefBased/>
  <w15:docId w15:val="{F56655D2-FAF4-46D3-A0F4-4D6BB3A0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A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2B"/>
  </w:style>
  <w:style w:type="paragraph" w:styleId="Footer">
    <w:name w:val="footer"/>
    <w:basedOn w:val="Normal"/>
    <w:link w:val="FooterChar"/>
    <w:uiPriority w:val="99"/>
    <w:unhideWhenUsed/>
    <w:rsid w:val="0048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2B"/>
  </w:style>
  <w:style w:type="table" w:styleId="TableGrid">
    <w:name w:val="Table Grid"/>
    <w:basedOn w:val="TableNormal"/>
    <w:uiPriority w:val="39"/>
    <w:rsid w:val="00AC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5f32e-50a8-45d6-89e9-0ef7825d3ddb" xsi:nil="true"/>
    <lcf76f155ced4ddcb4097134ff3c332f xmlns="5b2721fe-2f98-4351-9b09-c3ef2c0160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B619193CF7B478C5BC34F04A29724" ma:contentTypeVersion="17" ma:contentTypeDescription="Create a new document." ma:contentTypeScope="" ma:versionID="cbd0282b0243481cb2fa0714a1d24e71">
  <xsd:schema xmlns:xsd="http://www.w3.org/2001/XMLSchema" xmlns:xs="http://www.w3.org/2001/XMLSchema" xmlns:p="http://schemas.microsoft.com/office/2006/metadata/properties" xmlns:ns2="5b2721fe-2f98-4351-9b09-c3ef2c0160a9" xmlns:ns3="ade5f32e-50a8-45d6-89e9-0ef7825d3ddb" targetNamespace="http://schemas.microsoft.com/office/2006/metadata/properties" ma:root="true" ma:fieldsID="418609490bde02e59049bc639c79e990" ns2:_="" ns3:_="">
    <xsd:import namespace="5b2721fe-2f98-4351-9b09-c3ef2c0160a9"/>
    <xsd:import namespace="ade5f32e-50a8-45d6-89e9-0ef7825d3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21fe-2f98-4351-9b09-c3ef2c01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84f415-12af-4123-9f1a-c7f377bf9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f32e-50a8-45d6-89e9-0ef7825d3d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eda3ff-db21-4000-bb8c-c6a26475b5c4}" ma:internalName="TaxCatchAll" ma:showField="CatchAllData" ma:web="ade5f32e-50a8-45d6-89e9-0ef7825d3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BC8EA-0275-4E15-8710-3AC1EF97E177}">
  <ds:schemaRefs>
    <ds:schemaRef ds:uri="http://schemas.microsoft.com/office/2006/metadata/properties"/>
    <ds:schemaRef ds:uri="http://schemas.microsoft.com/office/infopath/2007/PartnerControls"/>
    <ds:schemaRef ds:uri="ade5f32e-50a8-45d6-89e9-0ef7825d3ddb"/>
    <ds:schemaRef ds:uri="5b2721fe-2f98-4351-9b09-c3ef2c0160a9"/>
  </ds:schemaRefs>
</ds:datastoreItem>
</file>

<file path=customXml/itemProps2.xml><?xml version="1.0" encoding="utf-8"?>
<ds:datastoreItem xmlns:ds="http://schemas.openxmlformats.org/officeDocument/2006/customXml" ds:itemID="{5DD8DD9D-C362-4E97-A6C2-1004881FD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FB643-6A56-425F-96F9-3D88997959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16F16-A6CA-4907-BF4E-E2FF11A1F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21fe-2f98-4351-9b09-c3ef2c0160a9"/>
    <ds:schemaRef ds:uri="ade5f32e-50a8-45d6-89e9-0ef7825d3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Nickel</dc:creator>
  <cp:keywords/>
  <dc:description/>
  <cp:lastModifiedBy>Mark Nickel</cp:lastModifiedBy>
  <cp:revision>146</cp:revision>
  <dcterms:created xsi:type="dcterms:W3CDTF">2024-11-19T15:47:00Z</dcterms:created>
  <dcterms:modified xsi:type="dcterms:W3CDTF">2024-11-21T21:48:00Z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0x010100192B619193CF7B478C5BC34F04A29724</vt:lpwstr>
  </property>
  <property fmtid="{D5CDD505-2E9C-101B-9397-08002B2CF9AE}" pid="3" name="MediaServiceImageTags">
    <vt:lpwstr/>
  </property>
</Properties>
</file>