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3512"/>
        <w:gridCol w:w="1798"/>
        <w:gridCol w:w="3801"/>
      </w:tblGrid>
      <w:tr w:rsidR="00D365BE" w14:paraId="47FABFFE" w14:textId="77777777" w:rsidTr="00706848">
        <w:tc>
          <w:tcPr>
            <w:tcW w:w="15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CE241D" w14:textId="59AD63B3" w:rsidR="00D365BE" w:rsidRPr="00CF60FF" w:rsidRDefault="00D365BE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Date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8266D8" w14:textId="2C12E054" w:rsidR="00D365BE" w:rsidRDefault="00D365BE" w:rsidP="00CB27AA">
            <w:pPr>
              <w:spacing w:before="40" w:after="40"/>
            </w:pPr>
            <w:r>
              <w:t xml:space="preserve">Wednesday, </w:t>
            </w:r>
            <w:r w:rsidR="00CC4241">
              <w:t>November 20</w:t>
            </w:r>
            <w:r>
              <w:t>, 2024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D8511E" w14:textId="2505C590" w:rsidR="00D365BE" w:rsidRPr="00CF60FF" w:rsidRDefault="00D365BE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Type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89CFEE" w14:textId="45A7EBAA" w:rsidR="00D365BE" w:rsidRDefault="00CC4241" w:rsidP="00CB27AA">
            <w:pPr>
              <w:spacing w:before="40" w:after="40"/>
            </w:pPr>
            <w:r>
              <w:t>In-person @ New Haven, CT</w:t>
            </w:r>
          </w:p>
        </w:tc>
      </w:tr>
      <w:tr w:rsidR="00AC1195" w14:paraId="7F06EE53" w14:textId="77777777" w:rsidTr="00706848">
        <w:tc>
          <w:tcPr>
            <w:tcW w:w="15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A447A4" w14:textId="3BB2E950" w:rsidR="00AC1195" w:rsidRPr="00CF60FF" w:rsidRDefault="00533C2B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Start Time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5D4CA6" w14:textId="51CB2A5A" w:rsidR="00AC1195" w:rsidRDefault="00D365BE" w:rsidP="00CB27AA">
            <w:pPr>
              <w:spacing w:before="40" w:after="40"/>
            </w:pPr>
            <w:r>
              <w:t xml:space="preserve">9:10 a.m. 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524FB3" w14:textId="6978EDC4" w:rsidR="00AC1195" w:rsidRPr="00CF60FF" w:rsidRDefault="00533C2B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CF60FF">
              <w:rPr>
                <w:b/>
                <w:bCs/>
                <w:sz w:val="20"/>
                <w:szCs w:val="20"/>
              </w:rPr>
              <w:t>End Time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C8663D" w14:textId="416C895B" w:rsidR="00AC1195" w:rsidRDefault="00CC4241" w:rsidP="00CB27AA">
            <w:pPr>
              <w:spacing w:before="40" w:after="40"/>
            </w:pPr>
            <w:r>
              <w:t>1</w:t>
            </w:r>
            <w:r w:rsidR="00FC6012">
              <w:t>:00</w:t>
            </w:r>
            <w:r w:rsidR="00D365BE">
              <w:t xml:space="preserve"> </w:t>
            </w:r>
            <w:r>
              <w:t>p</w:t>
            </w:r>
            <w:r w:rsidR="00D365BE">
              <w:t xml:space="preserve">.m. </w:t>
            </w:r>
          </w:p>
        </w:tc>
      </w:tr>
      <w:tr w:rsidR="00AC1195" w14:paraId="541B3275" w14:textId="77777777" w:rsidTr="00706848">
        <w:tc>
          <w:tcPr>
            <w:tcW w:w="15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F1E0E2" w14:textId="0991DC09" w:rsidR="00AC1195" w:rsidRPr="00CF60FF" w:rsidRDefault="00CF60FF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Participants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4D2C53" w14:textId="6224C472" w:rsidR="00AC1195" w:rsidRDefault="00235766" w:rsidP="00CB27AA">
            <w:pPr>
              <w:spacing w:before="40" w:after="40"/>
            </w:pPr>
            <w:r>
              <w:t>121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AA270C" w14:textId="5F466AD8" w:rsidR="00AC1195" w:rsidRPr="002D4D8A" w:rsidRDefault="00CF60FF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D4D8A">
              <w:rPr>
                <w:b/>
                <w:bCs/>
                <w:sz w:val="20"/>
                <w:szCs w:val="20"/>
              </w:rPr>
              <w:t xml:space="preserve">CHCP </w:t>
            </w:r>
            <w:r w:rsidR="002D4D8A" w:rsidRPr="002D4D8A">
              <w:rPr>
                <w:b/>
                <w:bCs/>
                <w:sz w:val="20"/>
                <w:szCs w:val="20"/>
              </w:rPr>
              <w:t>Members</w:t>
            </w:r>
            <w:r w:rsidR="00FA769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A8C85B" w14:textId="58E0B56B" w:rsidR="00AC1195" w:rsidRDefault="002E1A58" w:rsidP="00CB27AA">
            <w:pPr>
              <w:spacing w:before="40" w:after="40"/>
            </w:pPr>
            <w:r w:rsidRPr="002E1A58">
              <w:t>2</w:t>
            </w:r>
            <w:r w:rsidR="00D4229F">
              <w:t>1</w:t>
            </w:r>
            <w:r w:rsidR="004B5B00">
              <w:t xml:space="preserve"> </w:t>
            </w:r>
          </w:p>
        </w:tc>
      </w:tr>
      <w:tr w:rsidR="004B5B00" w14:paraId="54375400" w14:textId="77777777" w:rsidTr="00FA769F">
        <w:tc>
          <w:tcPr>
            <w:tcW w:w="15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A5D2" w14:textId="48F8CB70" w:rsidR="004B5B00" w:rsidRPr="004B5B00" w:rsidRDefault="004B5B00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4B5B00">
              <w:rPr>
                <w:b/>
                <w:bCs/>
                <w:sz w:val="20"/>
                <w:szCs w:val="20"/>
              </w:rPr>
              <w:t>Co-Chairs:</w:t>
            </w:r>
          </w:p>
        </w:tc>
        <w:tc>
          <w:tcPr>
            <w:tcW w:w="91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CE3E43" w14:textId="1312AC41" w:rsidR="004B5B00" w:rsidRDefault="00CB27AA" w:rsidP="00CB27AA">
            <w:pPr>
              <w:spacing w:before="40" w:after="40"/>
            </w:pPr>
            <w:r>
              <w:t>Xavier Day</w:t>
            </w:r>
            <w:r w:rsidR="00235766">
              <w:t xml:space="preserve">, </w:t>
            </w:r>
            <w:r w:rsidR="00235766">
              <w:t>Nilda Fernandez</w:t>
            </w:r>
            <w:r w:rsidR="00D4229F">
              <w:t>,</w:t>
            </w:r>
            <w:r w:rsidR="00235766">
              <w:t xml:space="preserve"> Africka Hinds</w:t>
            </w:r>
          </w:p>
        </w:tc>
      </w:tr>
      <w:tr w:rsidR="00FA769F" w14:paraId="6C029D96" w14:textId="77777777" w:rsidTr="00FA769F">
        <w:tc>
          <w:tcPr>
            <w:tcW w:w="15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8BC31B" w14:textId="155C1B59" w:rsidR="00FA769F" w:rsidRPr="004B5B00" w:rsidRDefault="00FA769F" w:rsidP="00CB27A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Next Meeting:</w:t>
            </w:r>
          </w:p>
        </w:tc>
        <w:tc>
          <w:tcPr>
            <w:tcW w:w="91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C8BCDF" w14:textId="2DE9D341" w:rsidR="00FA769F" w:rsidRDefault="008F39F3" w:rsidP="00CB27AA">
            <w:pPr>
              <w:spacing w:before="40" w:after="40"/>
            </w:pPr>
            <w:r>
              <w:t>January 15</w:t>
            </w:r>
            <w:r w:rsidR="00FA769F">
              <w:t>, 202</w:t>
            </w:r>
            <w:r>
              <w:t>5</w:t>
            </w:r>
            <w:r w:rsidR="00FA769F">
              <w:t xml:space="preserve"> (</w:t>
            </w:r>
            <w:r w:rsidR="005C0CAC">
              <w:t>meeting type and</w:t>
            </w:r>
            <w:r w:rsidR="00956DCD">
              <w:t>/or location to be determined</w:t>
            </w:r>
            <w:r w:rsidR="00FA769F">
              <w:t xml:space="preserve">) </w:t>
            </w:r>
          </w:p>
        </w:tc>
      </w:tr>
    </w:tbl>
    <w:p w14:paraId="477D385A" w14:textId="77777777" w:rsidR="00AC1195" w:rsidRDefault="00AC1195" w:rsidP="005B2830">
      <w:pPr>
        <w:spacing w:after="0"/>
      </w:pPr>
    </w:p>
    <w:p w14:paraId="75CB0641" w14:textId="77777777" w:rsidR="00FC6012" w:rsidRPr="00FC6012" w:rsidRDefault="00AA48CA" w:rsidP="005B2830">
      <w:pPr>
        <w:spacing w:after="60" w:line="25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>WELCOME AND CHPC OVERVIEW</w:t>
      </w:r>
    </w:p>
    <w:p w14:paraId="3902A53A" w14:textId="0ADCA288" w:rsidR="00AC1195" w:rsidRDefault="00797FE5" w:rsidP="00913ABC">
      <w:pPr>
        <w:spacing w:after="140" w:line="250" w:lineRule="auto"/>
        <w:jc w:val="both"/>
      </w:pPr>
      <w:r>
        <w:t xml:space="preserve">CHPC Co-Chairs </w:t>
      </w:r>
      <w:r w:rsidR="00D4229F">
        <w:t>Xavier Day</w:t>
      </w:r>
      <w:r w:rsidR="00D4229F">
        <w:t>,</w:t>
      </w:r>
      <w:r w:rsidR="00D4229F">
        <w:t xml:space="preserve"> </w:t>
      </w:r>
      <w:r>
        <w:t>Nilda Fernandez</w:t>
      </w:r>
      <w:r w:rsidR="00D4229F">
        <w:t>, and Africka Hinds</w:t>
      </w:r>
      <w:r>
        <w:t xml:space="preserve"> welcomed participants </w:t>
      </w:r>
      <w:r w:rsidR="00D4229F">
        <w:t xml:space="preserve">to </w:t>
      </w:r>
      <w:r w:rsidR="00894D16">
        <w:t xml:space="preserve">the in-person meeting at the Hotel Marcel in New Haven. They </w:t>
      </w:r>
      <w:r w:rsidR="006C2ACF">
        <w:t xml:space="preserve">encouraged individuals to create a positive </w:t>
      </w:r>
      <w:r w:rsidR="00556DAA">
        <w:t xml:space="preserve">and interactive </w:t>
      </w:r>
      <w:r w:rsidR="006C2ACF">
        <w:t>meeting environment</w:t>
      </w:r>
      <w:r w:rsidR="007C27B1">
        <w:t xml:space="preserve"> and to be patient as everyone learns the nuances of a new space</w:t>
      </w:r>
      <w:r w:rsidR="000676C8">
        <w:t xml:space="preserve">. The CHPC Co-Chairs reviewed the CHPC vision, mission, values, </w:t>
      </w:r>
      <w:r w:rsidR="001D454B">
        <w:t xml:space="preserve">plan goals, and meeting objectives, and </w:t>
      </w:r>
      <w:r w:rsidR="0047204B">
        <w:t>led a moment of silence</w:t>
      </w:r>
      <w:r w:rsidR="001D454B">
        <w:t xml:space="preserve"> – acknowledging </w:t>
      </w:r>
      <w:r w:rsidR="005830C5">
        <w:t>the death of CHPC Member Jessica Figueroa</w:t>
      </w:r>
      <w:r w:rsidR="00E42DE8">
        <w:t xml:space="preserve">. </w:t>
      </w:r>
    </w:p>
    <w:p w14:paraId="630EA024" w14:textId="15FD7107" w:rsidR="00B57370" w:rsidRPr="00FC6012" w:rsidRDefault="007A5C27" w:rsidP="005B2830">
      <w:pPr>
        <w:spacing w:after="60" w:line="25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 xml:space="preserve">CHPC GENERAL BUSINESS UPDATES </w:t>
      </w:r>
    </w:p>
    <w:p w14:paraId="34F987D1" w14:textId="24B3EA11" w:rsidR="004C5174" w:rsidRDefault="005830C5" w:rsidP="00913ABC">
      <w:pPr>
        <w:spacing w:after="140" w:line="250" w:lineRule="auto"/>
        <w:jc w:val="both"/>
      </w:pPr>
      <w:r>
        <w:rPr>
          <w:b/>
          <w:bCs/>
        </w:rPr>
        <w:t xml:space="preserve">October </w:t>
      </w:r>
      <w:r w:rsidR="004C5174">
        <w:rPr>
          <w:b/>
          <w:bCs/>
        </w:rPr>
        <w:t>Meeting Summary.</w:t>
      </w:r>
      <w:r w:rsidR="004C5174" w:rsidRPr="005F259C">
        <w:t xml:space="preserve"> Co-Chairs stated that the </w:t>
      </w:r>
      <w:r>
        <w:t>October</w:t>
      </w:r>
      <w:r w:rsidR="004C5174" w:rsidRPr="005F259C">
        <w:t xml:space="preserve"> meeting summary</w:t>
      </w:r>
      <w:r>
        <w:t xml:space="preserve"> which was largely informational</w:t>
      </w:r>
      <w:r w:rsidR="004C5174" w:rsidRPr="005F259C">
        <w:t xml:space="preserve"> was </w:t>
      </w:r>
      <w:r w:rsidR="005F259C" w:rsidRPr="005F259C">
        <w:t xml:space="preserve">approved by consensus. </w:t>
      </w:r>
    </w:p>
    <w:p w14:paraId="34AE926C" w14:textId="1E778938" w:rsidR="005D1B56" w:rsidRDefault="005D1B56" w:rsidP="00913ABC">
      <w:pPr>
        <w:spacing w:after="140" w:line="250" w:lineRule="auto"/>
        <w:jc w:val="both"/>
        <w:rPr>
          <w:b/>
          <w:bCs/>
        </w:rPr>
      </w:pPr>
      <w:r w:rsidRPr="00706848">
        <w:rPr>
          <w:b/>
          <w:bCs/>
        </w:rPr>
        <w:t xml:space="preserve">CHPC Website. </w:t>
      </w:r>
      <w:r>
        <w:t>Participants were given a brief virtual tour of the updated CHPC website</w:t>
      </w:r>
      <w:r w:rsidR="00A1569E">
        <w:t xml:space="preserve"> </w:t>
      </w:r>
      <w:r w:rsidR="00706848">
        <w:t>(</w:t>
      </w:r>
      <w:r w:rsidR="00A1569E">
        <w:t>cthivplanning.org</w:t>
      </w:r>
      <w:r w:rsidR="00706848">
        <w:t>).</w:t>
      </w:r>
    </w:p>
    <w:p w14:paraId="2B0AD291" w14:textId="6B3191A1" w:rsidR="007A5C27" w:rsidRPr="00FC6012" w:rsidRDefault="007A5C27" w:rsidP="005B2830">
      <w:pPr>
        <w:spacing w:after="60" w:line="25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 xml:space="preserve">CONNECTICUT INTEGRATED PLAN 2022-2026 </w:t>
      </w:r>
      <w:r w:rsidR="00AA48CA" w:rsidRPr="00FC6012">
        <w:rPr>
          <w:b/>
          <w:bCs/>
          <w:color w:val="156082" w:themeColor="accent1"/>
        </w:rPr>
        <w:t xml:space="preserve"> </w:t>
      </w:r>
    </w:p>
    <w:p w14:paraId="5B1E0B77" w14:textId="129E4ABF" w:rsidR="00D87C65" w:rsidRDefault="00EB5250" w:rsidP="00C10A66">
      <w:pPr>
        <w:spacing w:after="140" w:line="250" w:lineRule="auto"/>
        <w:jc w:val="both"/>
        <w:rPr>
          <w:color w:val="000000" w:themeColor="text1"/>
        </w:rPr>
      </w:pPr>
      <w:r w:rsidRPr="00260492">
        <w:rPr>
          <w:b/>
          <w:bCs/>
          <w:color w:val="000000" w:themeColor="text1"/>
        </w:rPr>
        <w:t>Update on Process to Align 2022-2026 Plan Goals with National HIV/AIDS Strategy and Gain Concurrence from CHPC and Ryan White Part A Planning Councils</w:t>
      </w:r>
      <w:r w:rsidRPr="00260492">
        <w:rPr>
          <w:b/>
          <w:bCs/>
          <w:color w:val="000000" w:themeColor="text1"/>
        </w:rPr>
        <w:t xml:space="preserve">. </w:t>
      </w:r>
      <w:r w:rsidR="00260492" w:rsidRPr="00260492">
        <w:rPr>
          <w:color w:val="000000" w:themeColor="text1"/>
        </w:rPr>
        <w:t>Africka Hinds shared that CT DPH and leaders from the Ryan White Part A Planning Councils and other federally funded Ryan White Partners met</w:t>
      </w:r>
      <w:r w:rsidR="00260492">
        <w:rPr>
          <w:color w:val="000000" w:themeColor="text1"/>
        </w:rPr>
        <w:t xml:space="preserve"> virtually with </w:t>
      </w:r>
      <w:r w:rsidR="00AC153B">
        <w:rPr>
          <w:color w:val="000000" w:themeColor="text1"/>
        </w:rPr>
        <w:t xml:space="preserve">federal Project Officers from the Centers for Disease Control and Prevention (CDC) and the Human Resource Services Administration (HRSA). </w:t>
      </w:r>
      <w:r w:rsidR="00DA1B5D">
        <w:rPr>
          <w:color w:val="000000" w:themeColor="text1"/>
        </w:rPr>
        <w:t>The federal Project Officers stated that t</w:t>
      </w:r>
      <w:r w:rsidR="004115E3">
        <w:rPr>
          <w:color w:val="000000" w:themeColor="text1"/>
        </w:rPr>
        <w:t xml:space="preserve">hey now will require Connecticut to align its goals with the National HIV and AIDS strategy. </w:t>
      </w:r>
      <w:r w:rsidR="00573460">
        <w:rPr>
          <w:color w:val="000000" w:themeColor="text1"/>
        </w:rPr>
        <w:t xml:space="preserve">The CHPC received an update about this at the October meeting. </w:t>
      </w:r>
      <w:r w:rsidR="001F6996">
        <w:rPr>
          <w:color w:val="000000" w:themeColor="text1"/>
        </w:rPr>
        <w:t>The</w:t>
      </w:r>
      <w:r w:rsidR="005F55FA">
        <w:rPr>
          <w:color w:val="000000" w:themeColor="text1"/>
        </w:rPr>
        <w:t xml:space="preserve"> group developed a tentative process and timeline to secure approval for changes to the Plan goals (and indicators) a</w:t>
      </w:r>
      <w:r w:rsidR="0092445D">
        <w:rPr>
          <w:color w:val="000000" w:themeColor="text1"/>
        </w:rPr>
        <w:t>s well as letters of concurrence from the CHPC and the Ryan White Part A Planning Councils. The table shows a tentative process and timeline that will be used as a starting point</w:t>
      </w:r>
      <w:r w:rsidR="00D87C65">
        <w:rPr>
          <w:color w:val="000000" w:themeColor="text1"/>
        </w:rPr>
        <w:t xml:space="preserve"> with the partners. </w:t>
      </w:r>
      <w:r w:rsidR="00BA754C">
        <w:rPr>
          <w:color w:val="000000" w:themeColor="text1"/>
        </w:rPr>
        <w:t xml:space="preserve">The CHPC Co-Chairs and Executive Committee will </w:t>
      </w:r>
      <w:r w:rsidR="006E4B4A">
        <w:rPr>
          <w:color w:val="000000" w:themeColor="text1"/>
        </w:rPr>
        <w:t xml:space="preserve">guide and coordinate the communications process. </w:t>
      </w:r>
    </w:p>
    <w:p w14:paraId="711B57C0" w14:textId="35693647" w:rsidR="00D87C65" w:rsidRDefault="00BA754C" w:rsidP="00BA754C">
      <w:pPr>
        <w:spacing w:after="140" w:line="250" w:lineRule="auto"/>
        <w:jc w:val="center"/>
        <w:rPr>
          <w:color w:val="000000" w:themeColor="text1"/>
        </w:rPr>
      </w:pPr>
      <w:r w:rsidRPr="00BA754C">
        <w:rPr>
          <w:color w:val="000000" w:themeColor="text1"/>
        </w:rPr>
        <w:drawing>
          <wp:inline distT="0" distB="0" distL="0" distR="0" wp14:anchorId="205413C4" wp14:editId="0871D9EB">
            <wp:extent cx="6114553" cy="2349765"/>
            <wp:effectExtent l="0" t="0" r="635" b="0"/>
            <wp:docPr id="204202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27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7696" cy="235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F53A" w14:textId="45A77FA3" w:rsidR="005F14CA" w:rsidRDefault="008404A7" w:rsidP="00676C62">
      <w:pPr>
        <w:spacing w:after="100" w:line="250" w:lineRule="auto"/>
        <w:jc w:val="both"/>
      </w:pPr>
      <w:r w:rsidRPr="00260492">
        <w:rPr>
          <w:b/>
          <w:bCs/>
        </w:rPr>
        <w:t>Featured Topic: Interval House / Interpersonal Violence</w:t>
      </w:r>
      <w:r w:rsidRPr="00260492">
        <w:rPr>
          <w:b/>
          <w:bCs/>
        </w:rPr>
        <w:t xml:space="preserve">. </w:t>
      </w:r>
      <w:r w:rsidR="006E4B4A" w:rsidRPr="003C7C62">
        <w:t>Mary-Jane Foste</w:t>
      </w:r>
      <w:r w:rsidR="003C7C62">
        <w:t>r, President and Chief Executive Officer</w:t>
      </w:r>
      <w:r w:rsidR="005954A2">
        <w:t xml:space="preserve"> of I</w:t>
      </w:r>
      <w:r w:rsidR="003C7C62">
        <w:t xml:space="preserve">nterval House </w:t>
      </w:r>
      <w:r w:rsidR="00DA5257">
        <w:t>– Connecticut’s largest domestic violence agency</w:t>
      </w:r>
      <w:r w:rsidR="009447AF">
        <w:t xml:space="preserve"> shared information a</w:t>
      </w:r>
      <w:r w:rsidR="00F44B86">
        <w:t xml:space="preserve">bout Interval </w:t>
      </w:r>
      <w:r w:rsidR="00F44B86">
        <w:lastRenderedPageBreak/>
        <w:t>House services, types of abuse, who is affected, domestic violence in the workplace, the connection of intimate partner abuse and HIV, how to help</w:t>
      </w:r>
      <w:r w:rsidR="009C59A0">
        <w:t>, and resources</w:t>
      </w:r>
      <w:r w:rsidR="00F44B86">
        <w:t>.</w:t>
      </w:r>
      <w:r w:rsidR="004A59AA">
        <w:t xml:space="preserve"> </w:t>
      </w:r>
      <w:r w:rsidR="005F14CA">
        <w:t xml:space="preserve">Important resources include: </w:t>
      </w:r>
    </w:p>
    <w:p w14:paraId="68C0A5EA" w14:textId="456FB2C2" w:rsidR="005E28A4" w:rsidRPr="00FE59D5" w:rsidRDefault="005F14CA" w:rsidP="00676C62">
      <w:pPr>
        <w:pStyle w:val="ListParagraph"/>
        <w:numPr>
          <w:ilvl w:val="0"/>
          <w:numId w:val="1"/>
        </w:numPr>
        <w:spacing w:after="100" w:line="250" w:lineRule="auto"/>
        <w:contextualSpacing w:val="0"/>
        <w:jc w:val="both"/>
        <w:rPr>
          <w:sz w:val="20"/>
          <w:szCs w:val="20"/>
        </w:rPr>
      </w:pPr>
      <w:r w:rsidRPr="00FE59D5">
        <w:rPr>
          <w:sz w:val="20"/>
          <w:szCs w:val="20"/>
        </w:rPr>
        <w:t>Interval House</w:t>
      </w:r>
      <w:r w:rsidR="005E28A4" w:rsidRPr="00FE59D5">
        <w:rPr>
          <w:sz w:val="20"/>
          <w:szCs w:val="20"/>
        </w:rPr>
        <w:t>:</w:t>
      </w:r>
      <w:r w:rsidRPr="00FE59D5">
        <w:rPr>
          <w:sz w:val="20"/>
          <w:szCs w:val="20"/>
        </w:rPr>
        <w:t xml:space="preserve"> (860) 838-8467</w:t>
      </w:r>
      <w:r w:rsidR="005E28A4" w:rsidRPr="00FE59D5">
        <w:rPr>
          <w:sz w:val="20"/>
          <w:szCs w:val="20"/>
        </w:rPr>
        <w:t xml:space="preserve"> (English) or (844) 831-9200 (Spanish)</w:t>
      </w:r>
    </w:p>
    <w:p w14:paraId="609F2DCD" w14:textId="77777777" w:rsidR="005E28A4" w:rsidRPr="00FE59D5" w:rsidRDefault="005E28A4" w:rsidP="00676C62">
      <w:pPr>
        <w:pStyle w:val="ListParagraph"/>
        <w:numPr>
          <w:ilvl w:val="0"/>
          <w:numId w:val="1"/>
        </w:numPr>
        <w:spacing w:after="100" w:line="250" w:lineRule="auto"/>
        <w:contextualSpacing w:val="0"/>
        <w:jc w:val="both"/>
        <w:rPr>
          <w:sz w:val="20"/>
          <w:szCs w:val="20"/>
        </w:rPr>
      </w:pPr>
      <w:r w:rsidRPr="00FE59D5">
        <w:rPr>
          <w:sz w:val="20"/>
          <w:szCs w:val="20"/>
        </w:rPr>
        <w:t>CT Safe Connect: (888) 774-2900</w:t>
      </w:r>
    </w:p>
    <w:p w14:paraId="4E3C068F" w14:textId="77777777" w:rsidR="00A41E4F" w:rsidRPr="00FE59D5" w:rsidRDefault="00A41E4F" w:rsidP="00676C62">
      <w:pPr>
        <w:pStyle w:val="ListParagraph"/>
        <w:numPr>
          <w:ilvl w:val="0"/>
          <w:numId w:val="1"/>
        </w:numPr>
        <w:spacing w:after="100" w:line="250" w:lineRule="auto"/>
        <w:contextualSpacing w:val="0"/>
        <w:jc w:val="both"/>
        <w:rPr>
          <w:sz w:val="20"/>
          <w:szCs w:val="20"/>
        </w:rPr>
      </w:pPr>
      <w:r w:rsidRPr="00FE59D5">
        <w:rPr>
          <w:sz w:val="20"/>
          <w:szCs w:val="20"/>
        </w:rPr>
        <w:t xml:space="preserve">National Domestic Violence Hotline: (800) 799-7233 </w:t>
      </w:r>
    </w:p>
    <w:p w14:paraId="577A8223" w14:textId="1758D414" w:rsidR="00EB5250" w:rsidRPr="00FE59D5" w:rsidRDefault="00A41E4F" w:rsidP="00676C62">
      <w:pPr>
        <w:pStyle w:val="ListParagraph"/>
        <w:numPr>
          <w:ilvl w:val="0"/>
          <w:numId w:val="1"/>
        </w:numPr>
        <w:spacing w:after="100" w:line="250" w:lineRule="auto"/>
        <w:contextualSpacing w:val="0"/>
        <w:jc w:val="both"/>
        <w:rPr>
          <w:sz w:val="20"/>
          <w:szCs w:val="20"/>
        </w:rPr>
      </w:pPr>
      <w:r w:rsidRPr="00FE59D5">
        <w:rPr>
          <w:sz w:val="20"/>
          <w:szCs w:val="20"/>
        </w:rPr>
        <w:t xml:space="preserve">Partnership to End Human Trafficking: </w:t>
      </w:r>
      <w:r w:rsidR="00F3128F" w:rsidRPr="00FE59D5">
        <w:rPr>
          <w:sz w:val="20"/>
          <w:szCs w:val="20"/>
        </w:rPr>
        <w:t>(203)</w:t>
      </w:r>
      <w:r w:rsidR="00676C62" w:rsidRPr="00FE59D5">
        <w:rPr>
          <w:sz w:val="20"/>
          <w:szCs w:val="20"/>
        </w:rPr>
        <w:t xml:space="preserve"> 572-0407</w:t>
      </w:r>
      <w:r w:rsidR="005E28A4" w:rsidRPr="00FE59D5">
        <w:rPr>
          <w:sz w:val="20"/>
          <w:szCs w:val="20"/>
        </w:rPr>
        <w:t xml:space="preserve"> </w:t>
      </w:r>
      <w:r w:rsidR="005F14CA" w:rsidRPr="00FE59D5">
        <w:rPr>
          <w:sz w:val="20"/>
          <w:szCs w:val="20"/>
        </w:rPr>
        <w:t xml:space="preserve"> </w:t>
      </w:r>
    </w:p>
    <w:p w14:paraId="7D7E9828" w14:textId="6D1AC6F4" w:rsidR="004508B0" w:rsidRPr="00676C62" w:rsidRDefault="004508B0" w:rsidP="004508B0">
      <w:pPr>
        <w:spacing w:after="100" w:line="250" w:lineRule="auto"/>
        <w:ind w:left="50"/>
        <w:jc w:val="both"/>
      </w:pPr>
      <w:r>
        <w:t>Participants shared lived experiences and asked questions about how to support individuals who may be experiencing interpersonal violence and human trafficking.</w:t>
      </w:r>
    </w:p>
    <w:p w14:paraId="74AFA454" w14:textId="2883EAB3" w:rsidR="008404A7" w:rsidRPr="00260492" w:rsidRDefault="00260492" w:rsidP="00C10A66">
      <w:pPr>
        <w:spacing w:after="140" w:line="250" w:lineRule="auto"/>
        <w:jc w:val="both"/>
        <w:rPr>
          <w:b/>
          <w:bCs/>
        </w:rPr>
      </w:pPr>
      <w:r w:rsidRPr="00260492">
        <w:rPr>
          <w:b/>
          <w:bCs/>
          <w:color w:val="000000" w:themeColor="text1"/>
        </w:rPr>
        <w:t>Short Video + Call for Ideas to Improve Engagement to and Connection with the CHPC</w:t>
      </w:r>
      <w:r w:rsidRPr="00260492">
        <w:rPr>
          <w:b/>
          <w:bCs/>
          <w:color w:val="000000" w:themeColor="text1"/>
        </w:rPr>
        <w:t xml:space="preserve">. </w:t>
      </w:r>
      <w:r w:rsidR="007436EC" w:rsidRPr="00D64C3F">
        <w:rPr>
          <w:color w:val="000000" w:themeColor="text1"/>
        </w:rPr>
        <w:t xml:space="preserve">Participants watched the premier of a short promotional video about the CHPC that features </w:t>
      </w:r>
      <w:r w:rsidR="00D64C3F" w:rsidRPr="00D64C3F">
        <w:rPr>
          <w:color w:val="000000" w:themeColor="text1"/>
        </w:rPr>
        <w:t xml:space="preserve">perspectives of CHPC members. </w:t>
      </w:r>
      <w:r w:rsidR="004508B0">
        <w:rPr>
          <w:color w:val="000000" w:themeColor="text1"/>
        </w:rPr>
        <w:t xml:space="preserve">The video will be </w:t>
      </w:r>
      <w:r w:rsidR="00295F57">
        <w:rPr>
          <w:color w:val="000000" w:themeColor="text1"/>
        </w:rPr>
        <w:t>available</w:t>
      </w:r>
      <w:r w:rsidR="004508B0">
        <w:rPr>
          <w:color w:val="000000" w:themeColor="text1"/>
        </w:rPr>
        <w:t xml:space="preserve"> on the CHPC website</w:t>
      </w:r>
      <w:r w:rsidR="0078323F">
        <w:rPr>
          <w:color w:val="000000" w:themeColor="text1"/>
        </w:rPr>
        <w:t xml:space="preserve"> and will support efforts to increase the visibility of the CHPC. Additional videos </w:t>
      </w:r>
      <w:r w:rsidR="008F6AB8">
        <w:rPr>
          <w:color w:val="000000" w:themeColor="text1"/>
        </w:rPr>
        <w:t xml:space="preserve">and social media content </w:t>
      </w:r>
      <w:r w:rsidR="0078323F">
        <w:rPr>
          <w:color w:val="000000" w:themeColor="text1"/>
        </w:rPr>
        <w:t xml:space="preserve">will be </w:t>
      </w:r>
      <w:r w:rsidR="00833BBB">
        <w:rPr>
          <w:color w:val="000000" w:themeColor="text1"/>
        </w:rPr>
        <w:t xml:space="preserve">developed in the upcoming months from </w:t>
      </w:r>
      <w:r w:rsidR="008F6AB8">
        <w:rPr>
          <w:color w:val="000000" w:themeColor="text1"/>
        </w:rPr>
        <w:t xml:space="preserve">filmed </w:t>
      </w:r>
      <w:r w:rsidR="00833BBB">
        <w:rPr>
          <w:color w:val="000000" w:themeColor="text1"/>
        </w:rPr>
        <w:t>interview</w:t>
      </w:r>
      <w:r w:rsidR="008F6AB8">
        <w:rPr>
          <w:color w:val="000000" w:themeColor="text1"/>
        </w:rPr>
        <w:t>s</w:t>
      </w:r>
      <w:r w:rsidR="00833BBB">
        <w:rPr>
          <w:color w:val="000000" w:themeColor="text1"/>
        </w:rPr>
        <w:t xml:space="preserve"> that will occur throughout the day</w:t>
      </w:r>
      <w:r w:rsidR="008F6AB8">
        <w:rPr>
          <w:color w:val="000000" w:themeColor="text1"/>
        </w:rPr>
        <w:t xml:space="preserve">. </w:t>
      </w:r>
      <w:r w:rsidR="00642F3F">
        <w:rPr>
          <w:color w:val="000000" w:themeColor="text1"/>
        </w:rPr>
        <w:t xml:space="preserve">CHPC participants shared their immediate reactions to the video and suggestions for future topics and </w:t>
      </w:r>
      <w:r w:rsidR="00964826">
        <w:rPr>
          <w:color w:val="000000" w:themeColor="text1"/>
        </w:rPr>
        <w:t xml:space="preserve">ways to increase visibility. Participants </w:t>
      </w:r>
      <w:r w:rsidR="00295F57">
        <w:rPr>
          <w:color w:val="000000" w:themeColor="text1"/>
        </w:rPr>
        <w:t>could</w:t>
      </w:r>
      <w:r w:rsidR="00964826">
        <w:rPr>
          <w:color w:val="000000" w:themeColor="text1"/>
        </w:rPr>
        <w:t xml:space="preserve"> attend the Membership and Awareness and Positive Prevention Connecticut Committee meeting for further discussion. </w:t>
      </w:r>
    </w:p>
    <w:p w14:paraId="3F6D98CB" w14:textId="3986838B" w:rsidR="00627EFD" w:rsidRPr="000C5783" w:rsidRDefault="00E61654" w:rsidP="00A75A84">
      <w:pPr>
        <w:spacing w:after="140" w:line="250" w:lineRule="auto"/>
        <w:jc w:val="both"/>
      </w:pPr>
      <w:r>
        <w:rPr>
          <w:b/>
          <w:bCs/>
        </w:rPr>
        <w:t>CHPC Committee Meetings.</w:t>
      </w:r>
      <w:r w:rsidRPr="000C5783">
        <w:t xml:space="preserve"> </w:t>
      </w:r>
      <w:r w:rsidR="00A75A84" w:rsidRPr="000C5783">
        <w:t xml:space="preserve">CHPC Co-Chairs reviewed the </w:t>
      </w:r>
      <w:r w:rsidR="000C5783" w:rsidRPr="000C5783">
        <w:t xml:space="preserve">committee meeting schedule and areas of focus. </w:t>
      </w:r>
      <w:r w:rsidR="008A0838">
        <w:t xml:space="preserve">Two committees will meet before lunch. The group will break for a 40-minute lunch and networking session. </w:t>
      </w:r>
      <w:r w:rsidR="00FE59D5">
        <w:t xml:space="preserve">The final two committee meetings will occur after lunch. </w:t>
      </w:r>
      <w:r w:rsidR="0013446E">
        <w:t xml:space="preserve">Meeting notes will be made available for each committee. 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7"/>
        <w:gridCol w:w="8039"/>
      </w:tblGrid>
      <w:tr w:rsidR="00E64566" w14:paraId="6ACCD2C7" w14:textId="77777777" w:rsidTr="00FE59D5">
        <w:tc>
          <w:tcPr>
            <w:tcW w:w="2607" w:type="dxa"/>
            <w:vAlign w:val="center"/>
          </w:tcPr>
          <w:p w14:paraId="23A1C7FE" w14:textId="2A0AE2CC" w:rsidR="00E64566" w:rsidRPr="00E64566" w:rsidRDefault="00E64566" w:rsidP="00E64566">
            <w:pPr>
              <w:spacing w:before="60" w:after="60" w:line="250" w:lineRule="auto"/>
              <w:jc w:val="center"/>
              <w:rPr>
                <w:b/>
                <w:bCs/>
                <w:sz w:val="20"/>
                <w:szCs w:val="20"/>
              </w:rPr>
            </w:pPr>
            <w:r w:rsidRPr="00E64566">
              <w:rPr>
                <w:b/>
                <w:bCs/>
                <w:sz w:val="20"/>
                <w:szCs w:val="20"/>
              </w:rPr>
              <w:t>Committee</w:t>
            </w:r>
          </w:p>
        </w:tc>
        <w:tc>
          <w:tcPr>
            <w:tcW w:w="8039" w:type="dxa"/>
            <w:vAlign w:val="center"/>
          </w:tcPr>
          <w:p w14:paraId="10821E30" w14:textId="2B7E62DB" w:rsidR="00E64566" w:rsidRPr="00E64566" w:rsidRDefault="00E047AC" w:rsidP="00E64566">
            <w:pPr>
              <w:spacing w:before="60" w:after="60" w:line="25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Areas of Meeting Focus </w:t>
            </w:r>
          </w:p>
        </w:tc>
      </w:tr>
      <w:tr w:rsidR="00E64566" w14:paraId="7BE1C754" w14:textId="77777777" w:rsidTr="00FE59D5">
        <w:tc>
          <w:tcPr>
            <w:tcW w:w="2607" w:type="dxa"/>
            <w:vAlign w:val="center"/>
          </w:tcPr>
          <w:p w14:paraId="4EBF171A" w14:textId="5128392F" w:rsidR="00E64566" w:rsidRPr="00E64566" w:rsidRDefault="00E64566" w:rsidP="00E64566">
            <w:pPr>
              <w:spacing w:before="60" w:after="60" w:line="250" w:lineRule="auto"/>
              <w:jc w:val="center"/>
              <w:rPr>
                <w:color w:val="156082" w:themeColor="accent1"/>
                <w:sz w:val="18"/>
                <w:szCs w:val="18"/>
              </w:rPr>
            </w:pPr>
            <w:r w:rsidRPr="00E64566">
              <w:rPr>
                <w:color w:val="156082" w:themeColor="accent1"/>
                <w:sz w:val="18"/>
                <w:szCs w:val="18"/>
              </w:rPr>
              <w:t>Quality Performance Measures (QPM)</w:t>
            </w:r>
          </w:p>
        </w:tc>
        <w:tc>
          <w:tcPr>
            <w:tcW w:w="8039" w:type="dxa"/>
            <w:vAlign w:val="center"/>
          </w:tcPr>
          <w:p w14:paraId="13E60F33" w14:textId="4C9A24AC" w:rsidR="00E64566" w:rsidRPr="00D87EBF" w:rsidRDefault="00E047AC" w:rsidP="00D87EBF">
            <w:pPr>
              <w:spacing w:before="60" w:after="60" w:line="250" w:lineRule="auto"/>
              <w:rPr>
                <w:sz w:val="20"/>
                <w:szCs w:val="20"/>
              </w:rPr>
            </w:pPr>
            <w:r w:rsidRPr="00E047AC">
              <w:rPr>
                <w:sz w:val="20"/>
                <w:szCs w:val="20"/>
              </w:rPr>
              <w:t>(1) Review Quality Improvement projects list and identify additional projects or unfinished business, (2) Priorities for 2025 workplan, (3) Activities to support 2027-2031 Plan</w:t>
            </w:r>
          </w:p>
        </w:tc>
      </w:tr>
      <w:tr w:rsidR="00E64566" w14:paraId="6469808E" w14:textId="77777777" w:rsidTr="00FE59D5">
        <w:tc>
          <w:tcPr>
            <w:tcW w:w="2607" w:type="dxa"/>
            <w:vAlign w:val="center"/>
          </w:tcPr>
          <w:p w14:paraId="1FA8DD60" w14:textId="14C68D7F" w:rsidR="00E64566" w:rsidRPr="00E64566" w:rsidRDefault="00E64566" w:rsidP="00E64566">
            <w:pPr>
              <w:spacing w:before="60" w:after="60" w:line="250" w:lineRule="auto"/>
              <w:jc w:val="center"/>
              <w:rPr>
                <w:color w:val="156082" w:themeColor="accent1"/>
                <w:sz w:val="18"/>
                <w:szCs w:val="18"/>
              </w:rPr>
            </w:pPr>
            <w:r w:rsidRPr="00E64566">
              <w:rPr>
                <w:color w:val="156082" w:themeColor="accent1"/>
                <w:sz w:val="18"/>
                <w:szCs w:val="18"/>
              </w:rPr>
              <w:t>Ending the Syndemic (ETS)</w:t>
            </w:r>
          </w:p>
        </w:tc>
        <w:tc>
          <w:tcPr>
            <w:tcW w:w="8039" w:type="dxa"/>
            <w:vAlign w:val="center"/>
          </w:tcPr>
          <w:p w14:paraId="2C416918" w14:textId="20D06486" w:rsidR="00E64566" w:rsidRPr="00D87EBF" w:rsidRDefault="00A75A84" w:rsidP="00D87EBF">
            <w:pPr>
              <w:spacing w:before="60" w:after="60" w:line="250" w:lineRule="auto"/>
              <w:rPr>
                <w:sz w:val="20"/>
                <w:szCs w:val="20"/>
              </w:rPr>
            </w:pPr>
            <w:r w:rsidRPr="00A75A84">
              <w:rPr>
                <w:sz w:val="20"/>
                <w:szCs w:val="20"/>
              </w:rPr>
              <w:t>(1) Review of current ETS projects and progress, (2) Gaps and needs to implement a whole-person approach, (3) 2025 workplan priorities</w:t>
            </w:r>
          </w:p>
        </w:tc>
      </w:tr>
      <w:tr w:rsidR="00A71727" w14:paraId="47087F02" w14:textId="77777777" w:rsidTr="00FE59D5">
        <w:tc>
          <w:tcPr>
            <w:tcW w:w="2607" w:type="dxa"/>
            <w:vAlign w:val="center"/>
          </w:tcPr>
          <w:p w14:paraId="01C7520A" w14:textId="2E1EC7C3" w:rsidR="00A71727" w:rsidRPr="00E64566" w:rsidRDefault="00A71727" w:rsidP="00A71727">
            <w:pPr>
              <w:spacing w:before="60" w:after="60" w:line="250" w:lineRule="auto"/>
              <w:jc w:val="center"/>
              <w:rPr>
                <w:color w:val="156082" w:themeColor="accent1"/>
                <w:sz w:val="18"/>
                <w:szCs w:val="18"/>
              </w:rPr>
            </w:pPr>
            <w:r w:rsidRPr="00E64566">
              <w:rPr>
                <w:color w:val="156082" w:themeColor="accent1"/>
                <w:sz w:val="18"/>
                <w:szCs w:val="18"/>
              </w:rPr>
              <w:t>Needs Assessment Projects (NAP)</w:t>
            </w:r>
          </w:p>
        </w:tc>
        <w:tc>
          <w:tcPr>
            <w:tcW w:w="8039" w:type="dxa"/>
            <w:vAlign w:val="center"/>
          </w:tcPr>
          <w:p w14:paraId="56A30520" w14:textId="14FC35D0" w:rsidR="00A71727" w:rsidRPr="00D87EBF" w:rsidRDefault="00A75A84" w:rsidP="00A71727">
            <w:pPr>
              <w:spacing w:before="60" w:after="60" w:line="250" w:lineRule="auto"/>
              <w:rPr>
                <w:sz w:val="20"/>
                <w:szCs w:val="20"/>
              </w:rPr>
            </w:pPr>
            <w:r w:rsidRPr="00A75A84">
              <w:rPr>
                <w:sz w:val="20"/>
                <w:szCs w:val="20"/>
              </w:rPr>
              <w:t>(1) Review letter to providers about Prevention Needs Assessment &amp; distribution plan, (2) Review workplan and priorities for 2025 and committee structure, (3) Updates to housing resource</w:t>
            </w:r>
          </w:p>
        </w:tc>
      </w:tr>
      <w:tr w:rsidR="00A71727" w14:paraId="74FDBB24" w14:textId="77777777" w:rsidTr="00FE59D5">
        <w:tc>
          <w:tcPr>
            <w:tcW w:w="2607" w:type="dxa"/>
            <w:vAlign w:val="center"/>
          </w:tcPr>
          <w:p w14:paraId="3E75A253" w14:textId="1562F786" w:rsidR="00A71727" w:rsidRPr="00E64566" w:rsidRDefault="00A71727" w:rsidP="00A71727">
            <w:pPr>
              <w:spacing w:before="60" w:after="60" w:line="250" w:lineRule="auto"/>
              <w:jc w:val="center"/>
              <w:rPr>
                <w:color w:val="156082" w:themeColor="accent1"/>
                <w:sz w:val="18"/>
                <w:szCs w:val="18"/>
              </w:rPr>
            </w:pPr>
            <w:r w:rsidRPr="00E64566">
              <w:rPr>
                <w:color w:val="156082" w:themeColor="accent1"/>
                <w:sz w:val="18"/>
                <w:szCs w:val="18"/>
              </w:rPr>
              <w:t>Membership and Awareness (MAC)</w:t>
            </w:r>
            <w:r>
              <w:rPr>
                <w:color w:val="156082" w:themeColor="accent1"/>
                <w:sz w:val="18"/>
                <w:szCs w:val="18"/>
              </w:rPr>
              <w:t xml:space="preserve"> &amp;</w:t>
            </w:r>
            <w:r w:rsidRPr="00E64566">
              <w:rPr>
                <w:color w:val="156082" w:themeColor="accent1"/>
                <w:sz w:val="18"/>
                <w:szCs w:val="18"/>
              </w:rPr>
              <w:t xml:space="preserve"> </w:t>
            </w:r>
            <w:r w:rsidRPr="00E64566">
              <w:rPr>
                <w:color w:val="156082" w:themeColor="accent1"/>
                <w:sz w:val="18"/>
                <w:szCs w:val="18"/>
              </w:rPr>
              <w:t>Positive Prevention Connecticut (PPCT)</w:t>
            </w:r>
            <w:r>
              <w:rPr>
                <w:color w:val="156082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8039" w:type="dxa"/>
            <w:vAlign w:val="center"/>
          </w:tcPr>
          <w:p w14:paraId="41E122B8" w14:textId="08809FD0" w:rsidR="00A71727" w:rsidRPr="00D87EBF" w:rsidRDefault="00E047AC" w:rsidP="00A71727">
            <w:pPr>
              <w:spacing w:before="60" w:after="60" w:line="250" w:lineRule="auto"/>
              <w:rPr>
                <w:sz w:val="20"/>
                <w:szCs w:val="20"/>
              </w:rPr>
            </w:pPr>
            <w:r w:rsidRPr="00E047AC">
              <w:rPr>
                <w:sz w:val="20"/>
                <w:szCs w:val="20"/>
              </w:rPr>
              <w:t>(1) Membership gaps and recruitment, (2) PPCT updates on promotions and social media manager, (3) CHPC newsletter development</w:t>
            </w:r>
          </w:p>
        </w:tc>
      </w:tr>
    </w:tbl>
    <w:p w14:paraId="62FA467A" w14:textId="77777777" w:rsidR="00E64566" w:rsidRDefault="00E64566" w:rsidP="009F7056">
      <w:pPr>
        <w:spacing w:after="0" w:line="250" w:lineRule="auto"/>
      </w:pPr>
    </w:p>
    <w:p w14:paraId="282F617C" w14:textId="6F9C0FF1" w:rsidR="00AA48CA" w:rsidRPr="00FC6012" w:rsidRDefault="00AA48CA" w:rsidP="00FE59D5">
      <w:pPr>
        <w:spacing w:after="60" w:line="24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 xml:space="preserve">NEW BUSINESS AND ANNOUNCEMENTS </w:t>
      </w:r>
    </w:p>
    <w:p w14:paraId="496C3BAE" w14:textId="4C41145B" w:rsidR="00FC6012" w:rsidRDefault="00F95CEE" w:rsidP="00176CC2">
      <w:pPr>
        <w:spacing w:after="140" w:line="250" w:lineRule="auto"/>
        <w:jc w:val="both"/>
      </w:pPr>
      <w:r>
        <w:t>No new business was introduce</w:t>
      </w:r>
      <w:r w:rsidR="00DD4EE3">
        <w:t xml:space="preserve">d. Participants </w:t>
      </w:r>
      <w:r w:rsidR="00176CC2">
        <w:t>shared announcements throughout the meeting and were encouraged to send information to CHPC support staff members for distribution to the CHPC contact list</w:t>
      </w:r>
      <w:r w:rsidR="00DD4EE3">
        <w:t xml:space="preserve">. </w:t>
      </w:r>
    </w:p>
    <w:p w14:paraId="7137AB66" w14:textId="18E8A8AF" w:rsidR="00AA48CA" w:rsidRPr="00FC6012" w:rsidRDefault="00FC6012" w:rsidP="00FE59D5">
      <w:pPr>
        <w:spacing w:after="60" w:line="240" w:lineRule="auto"/>
        <w:rPr>
          <w:b/>
          <w:bCs/>
          <w:color w:val="156082" w:themeColor="accent1"/>
        </w:rPr>
      </w:pPr>
      <w:r w:rsidRPr="00FC6012">
        <w:rPr>
          <w:b/>
          <w:bCs/>
          <w:color w:val="156082" w:themeColor="accent1"/>
        </w:rPr>
        <w:t xml:space="preserve">MEETING FEEDBACK </w:t>
      </w:r>
    </w:p>
    <w:p w14:paraId="5160369A" w14:textId="316A51EA" w:rsidR="00FC6012" w:rsidRDefault="009979D3" w:rsidP="00176CC2">
      <w:pPr>
        <w:spacing w:after="140" w:line="250" w:lineRule="auto"/>
        <w:jc w:val="both"/>
      </w:pPr>
      <w:r>
        <w:t xml:space="preserve">Participants </w:t>
      </w:r>
      <w:r w:rsidR="002F47A6">
        <w:t xml:space="preserve">completed the monthly meeting feedback forms to share their experiences and to suggest areas for improvement in future meetings. </w:t>
      </w:r>
    </w:p>
    <w:p w14:paraId="6D2861F5" w14:textId="704236C5" w:rsidR="00FC6012" w:rsidRPr="00F9144B" w:rsidRDefault="00FC6012" w:rsidP="00FE59D5">
      <w:pPr>
        <w:spacing w:after="60" w:line="240" w:lineRule="auto"/>
        <w:rPr>
          <w:b/>
          <w:bCs/>
          <w:color w:val="156082" w:themeColor="accent1"/>
        </w:rPr>
      </w:pPr>
      <w:r w:rsidRPr="00F9144B">
        <w:rPr>
          <w:b/>
          <w:bCs/>
          <w:color w:val="156082" w:themeColor="accent1"/>
        </w:rPr>
        <w:t>ADOURN</w:t>
      </w:r>
    </w:p>
    <w:p w14:paraId="03A32620" w14:textId="33752CE2" w:rsidR="00FC6012" w:rsidRDefault="002F47A6" w:rsidP="00FC6012">
      <w:pPr>
        <w:spacing w:after="140" w:line="250" w:lineRule="auto"/>
      </w:pPr>
      <w:r>
        <w:t xml:space="preserve">The </w:t>
      </w:r>
      <w:r w:rsidR="00FA769F">
        <w:t xml:space="preserve">CHPC Co-Chairs adjourned the meeting at </w:t>
      </w:r>
      <w:r w:rsidR="00FE59D5">
        <w:t>2</w:t>
      </w:r>
      <w:r w:rsidR="00FA769F">
        <w:t xml:space="preserve">:00 </w:t>
      </w:r>
      <w:r w:rsidR="00FE59D5">
        <w:t>p</w:t>
      </w:r>
      <w:r w:rsidR="00FA769F">
        <w:t xml:space="preserve">.m. </w:t>
      </w:r>
    </w:p>
    <w:p w14:paraId="73866C4B" w14:textId="3CA66C9D" w:rsidR="00AC1195" w:rsidRPr="005B2830" w:rsidRDefault="005B2830" w:rsidP="00FE59D5">
      <w:pPr>
        <w:spacing w:after="60" w:line="240" w:lineRule="auto"/>
        <w:rPr>
          <w:b/>
          <w:bCs/>
        </w:rPr>
      </w:pPr>
      <w:r w:rsidRPr="005B2830">
        <w:rPr>
          <w:b/>
          <w:bCs/>
          <w:color w:val="156082" w:themeColor="accent1"/>
        </w:rPr>
        <w:t xml:space="preserve">ATTENDANCE </w:t>
      </w:r>
    </w:p>
    <w:p w14:paraId="5A034617" w14:textId="271A301F" w:rsidR="009E246C" w:rsidRPr="00AC1195" w:rsidRDefault="005B2830" w:rsidP="00AC1195">
      <w:r>
        <w:t>Attendance records are kept on file with the CHPC support staff</w:t>
      </w:r>
      <w:r w:rsidR="00E42DE8">
        <w:t xml:space="preserve">. </w:t>
      </w:r>
    </w:p>
    <w:sectPr w:rsidR="009E246C" w:rsidRPr="00AC1195" w:rsidSect="00FE5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72" w:right="576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4912" w14:textId="77777777" w:rsidR="00FB482D" w:rsidRDefault="00FB482D" w:rsidP="0048652B">
      <w:pPr>
        <w:spacing w:after="0" w:line="240" w:lineRule="auto"/>
      </w:pPr>
      <w:r>
        <w:separator/>
      </w:r>
    </w:p>
  </w:endnote>
  <w:endnote w:type="continuationSeparator" w:id="0">
    <w:p w14:paraId="07F9C503" w14:textId="77777777" w:rsidR="00FB482D" w:rsidRDefault="00FB482D" w:rsidP="0048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CA1F" w14:textId="77777777" w:rsidR="00176CC2" w:rsidRDefault="00176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156B" w14:textId="22F1C7BF" w:rsidR="00D806EE" w:rsidRPr="00D806EE" w:rsidRDefault="00D806EE" w:rsidP="00D806EE">
    <w:pPr>
      <w:pStyle w:val="Footer"/>
      <w:jc w:val="center"/>
      <w:rPr>
        <w:sz w:val="20"/>
        <w:szCs w:val="20"/>
      </w:rPr>
    </w:pPr>
    <w:r w:rsidRPr="00D806EE">
      <w:rPr>
        <w:sz w:val="20"/>
        <w:szCs w:val="20"/>
      </w:rPr>
      <w:t xml:space="preserve">Page </w:t>
    </w:r>
    <w:r w:rsidRPr="00D806EE">
      <w:rPr>
        <w:sz w:val="20"/>
        <w:szCs w:val="20"/>
      </w:rPr>
      <w:fldChar w:fldCharType="begin"/>
    </w:r>
    <w:r w:rsidRPr="00D806EE">
      <w:rPr>
        <w:sz w:val="20"/>
        <w:szCs w:val="20"/>
      </w:rPr>
      <w:instrText xml:space="preserve"> PAGE   \* MERGEFORMAT </w:instrText>
    </w:r>
    <w:r w:rsidRPr="00D806EE">
      <w:rPr>
        <w:sz w:val="20"/>
        <w:szCs w:val="20"/>
      </w:rPr>
      <w:fldChar w:fldCharType="separate"/>
    </w:r>
    <w:r w:rsidRPr="00D806EE">
      <w:rPr>
        <w:noProof/>
        <w:sz w:val="20"/>
        <w:szCs w:val="20"/>
      </w:rPr>
      <w:t>1</w:t>
    </w:r>
    <w:r w:rsidRPr="00D806EE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47F7" w14:textId="77777777" w:rsidR="00176CC2" w:rsidRDefault="00176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B8D7" w14:textId="77777777" w:rsidR="00FB482D" w:rsidRDefault="00FB482D" w:rsidP="0048652B">
      <w:pPr>
        <w:spacing w:after="0" w:line="240" w:lineRule="auto"/>
      </w:pPr>
      <w:r>
        <w:separator/>
      </w:r>
    </w:p>
  </w:footnote>
  <w:footnote w:type="continuationSeparator" w:id="0">
    <w:p w14:paraId="208E5D4E" w14:textId="77777777" w:rsidR="00FB482D" w:rsidRDefault="00FB482D" w:rsidP="0048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179D" w14:textId="77777777" w:rsidR="00176CC2" w:rsidRDefault="00176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68EE" w14:textId="2B636434" w:rsidR="009105F6" w:rsidRPr="00E539A1" w:rsidRDefault="00176CC2" w:rsidP="009105F6">
    <w:pPr>
      <w:pStyle w:val="Header"/>
      <w:tabs>
        <w:tab w:val="clear" w:pos="9360"/>
      </w:tabs>
      <w:spacing w:after="80"/>
      <w:ind w:left="-180"/>
      <w:jc w:val="center"/>
      <w:rPr>
        <w:rFonts w:asciiTheme="majorHAnsi" w:hAnsiTheme="majorHAnsi"/>
        <w:b/>
        <w:bCs/>
        <w:color w:val="215E99" w:themeColor="text2" w:themeTint="BF"/>
        <w:sz w:val="36"/>
        <w:szCs w:val="36"/>
      </w:rPr>
    </w:pPr>
    <w:sdt>
      <w:sdtPr>
        <w:rPr>
          <w:rFonts w:asciiTheme="majorHAnsi" w:hAnsiTheme="majorHAnsi"/>
          <w:b/>
          <w:bCs/>
          <w:color w:val="215E99" w:themeColor="text2" w:themeTint="BF"/>
          <w:sz w:val="36"/>
          <w:szCs w:val="36"/>
        </w:rPr>
        <w:id w:val="1041178245"/>
        <w:docPartObj>
          <w:docPartGallery w:val="Watermarks"/>
          <w:docPartUnique/>
        </w:docPartObj>
      </w:sdtPr>
      <w:sdtContent>
        <w:r w:rsidRPr="00176CC2">
          <w:rPr>
            <w:rFonts w:asciiTheme="majorHAnsi" w:hAnsiTheme="majorHAnsi"/>
            <w:b/>
            <w:bCs/>
            <w:noProof/>
            <w:color w:val="215E99" w:themeColor="text2" w:themeTint="BF"/>
            <w:sz w:val="36"/>
            <w:szCs w:val="36"/>
          </w:rPr>
          <w:pict w14:anchorId="4533A1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05F6">
      <w:rPr>
        <w:noProof/>
      </w:rPr>
      <w:drawing>
        <wp:anchor distT="0" distB="0" distL="114300" distR="114300" simplePos="0" relativeHeight="251659264" behindDoc="1" locked="0" layoutInCell="1" allowOverlap="1" wp14:anchorId="38AD75EC" wp14:editId="3A16EC02">
          <wp:simplePos x="0" y="0"/>
          <wp:positionH relativeFrom="margin">
            <wp:posOffset>-200025</wp:posOffset>
          </wp:positionH>
          <wp:positionV relativeFrom="paragraph">
            <wp:posOffset>-66675</wp:posOffset>
          </wp:positionV>
          <wp:extent cx="1270635" cy="657225"/>
          <wp:effectExtent l="0" t="0" r="5715" b="9525"/>
          <wp:wrapTight wrapText="bothSides">
            <wp:wrapPolygon edited="0">
              <wp:start x="0" y="0"/>
              <wp:lineTo x="0" y="21287"/>
              <wp:lineTo x="21373" y="21287"/>
              <wp:lineTo x="21373" y="0"/>
              <wp:lineTo x="0" y="0"/>
            </wp:wrapPolygon>
          </wp:wrapTight>
          <wp:docPr id="147629918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59886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79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F111AD" wp14:editId="385A492A">
              <wp:simplePos x="0" y="0"/>
              <wp:positionH relativeFrom="margin">
                <wp:align>right</wp:align>
              </wp:positionH>
              <wp:positionV relativeFrom="paragraph">
                <wp:posOffset>-142875</wp:posOffset>
              </wp:positionV>
              <wp:extent cx="895350" cy="819150"/>
              <wp:effectExtent l="0" t="0" r="0" b="0"/>
              <wp:wrapTight wrapText="bothSides">
                <wp:wrapPolygon edited="0">
                  <wp:start x="0" y="0"/>
                  <wp:lineTo x="0" y="21098"/>
                  <wp:lineTo x="21140" y="21098"/>
                  <wp:lineTo x="21140" y="0"/>
                  <wp:lineTo x="0" y="0"/>
                </wp:wrapPolygon>
              </wp:wrapTight>
              <wp:docPr id="18260293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3C6E8" w14:textId="77777777" w:rsidR="001A2798" w:rsidRDefault="001A2798" w:rsidP="001A27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298A2" wp14:editId="51465D56">
                                <wp:extent cx="608965" cy="718185"/>
                                <wp:effectExtent l="0" t="0" r="635" b="5715"/>
                                <wp:docPr id="1340016532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3662995" name="Picture 3" descr="Logo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965" cy="718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11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.3pt;margin-top:-11.25pt;width:70.5pt;height:64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" stroked="f">
              <v:textbox>
                <w:txbxContent>
                  <w:p w14:paraId="50F3C6E8" w14:textId="77777777" w:rsidR="001A2798" w:rsidRDefault="001A2798" w:rsidP="001A2798">
                    <w:r>
                      <w:rPr>
                        <w:noProof/>
                      </w:rPr>
                      <w:drawing>
                        <wp:inline distT="0" distB="0" distL="0" distR="0" wp14:anchorId="332298A2" wp14:editId="51465D56">
                          <wp:extent cx="608965" cy="718185"/>
                          <wp:effectExtent l="0" t="0" r="635" b="5715"/>
                          <wp:docPr id="1340016532" name="Picture 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3662995" name="Picture 3" descr="Logo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8965" cy="718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9105F6" w:rsidRPr="009105F6">
      <w:rPr>
        <w:rFonts w:asciiTheme="majorHAnsi" w:hAnsiTheme="majorHAnsi"/>
        <w:b/>
        <w:bCs/>
        <w:color w:val="215E99" w:themeColor="text2" w:themeTint="BF"/>
        <w:sz w:val="36"/>
        <w:szCs w:val="36"/>
      </w:rPr>
      <w:t xml:space="preserve"> </w:t>
    </w:r>
    <w:r w:rsidR="009105F6" w:rsidRPr="00E539A1">
      <w:rPr>
        <w:rFonts w:asciiTheme="majorHAnsi" w:hAnsiTheme="majorHAnsi"/>
        <w:b/>
        <w:bCs/>
        <w:color w:val="215E99" w:themeColor="text2" w:themeTint="BF"/>
        <w:sz w:val="36"/>
        <w:szCs w:val="36"/>
      </w:rPr>
      <w:t>Connecticut HIV Planning Consortium</w:t>
    </w:r>
  </w:p>
  <w:p w14:paraId="3EF03C5C" w14:textId="17A11926" w:rsidR="0048652B" w:rsidRPr="00006125" w:rsidRDefault="00006125" w:rsidP="00006125">
    <w:pPr>
      <w:pStyle w:val="Header"/>
      <w:spacing w:after="80"/>
      <w:ind w:left="-360"/>
      <w:jc w:val="center"/>
      <w:rPr>
        <w:b/>
        <w:bCs/>
        <w:color w:val="000000" w:themeColor="text1"/>
        <w:sz w:val="24"/>
        <w:szCs w:val="24"/>
      </w:rPr>
    </w:pPr>
    <w:r w:rsidRPr="00006125">
      <w:rPr>
        <w:b/>
        <w:bCs/>
        <w:color w:val="000000" w:themeColor="text1"/>
        <w:sz w:val="24"/>
        <w:szCs w:val="24"/>
      </w:rPr>
      <w:t>Main Meeting Summary</w:t>
    </w:r>
  </w:p>
  <w:p w14:paraId="067A9416" w14:textId="5BBC3DD1" w:rsidR="00006125" w:rsidRPr="00006125" w:rsidRDefault="00CC4241" w:rsidP="00006125">
    <w:pPr>
      <w:pStyle w:val="Header"/>
      <w:spacing w:after="80"/>
      <w:ind w:left="-360"/>
      <w:jc w:val="center"/>
      <w:rPr>
        <w:sz w:val="24"/>
        <w:szCs w:val="24"/>
      </w:rPr>
    </w:pPr>
    <w:r>
      <w:rPr>
        <w:sz w:val="24"/>
        <w:szCs w:val="24"/>
      </w:rPr>
      <w:t>November 20</w:t>
    </w:r>
    <w:r w:rsidR="00006125" w:rsidRPr="00006125">
      <w:rPr>
        <w:sz w:val="24"/>
        <w:szCs w:val="24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8CE4" w14:textId="77777777" w:rsidR="00176CC2" w:rsidRDefault="00176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58D6"/>
    <w:multiLevelType w:val="hybridMultilevel"/>
    <w:tmpl w:val="BDD8B9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2651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11"/>
    <w:rsid w:val="00006125"/>
    <w:rsid w:val="00020FED"/>
    <w:rsid w:val="000343BE"/>
    <w:rsid w:val="000377EB"/>
    <w:rsid w:val="000676C8"/>
    <w:rsid w:val="00081E13"/>
    <w:rsid w:val="000C5783"/>
    <w:rsid w:val="000D4C12"/>
    <w:rsid w:val="00101D21"/>
    <w:rsid w:val="0013446E"/>
    <w:rsid w:val="00145634"/>
    <w:rsid w:val="00176CC2"/>
    <w:rsid w:val="001A2798"/>
    <w:rsid w:val="001C12D2"/>
    <w:rsid w:val="001D454B"/>
    <w:rsid w:val="001F6996"/>
    <w:rsid w:val="00214482"/>
    <w:rsid w:val="00215A08"/>
    <w:rsid w:val="00235766"/>
    <w:rsid w:val="00244B28"/>
    <w:rsid w:val="00260492"/>
    <w:rsid w:val="002653F2"/>
    <w:rsid w:val="0026773B"/>
    <w:rsid w:val="00295F57"/>
    <w:rsid w:val="002D4D8A"/>
    <w:rsid w:val="002E1A58"/>
    <w:rsid w:val="002E6726"/>
    <w:rsid w:val="002F47A6"/>
    <w:rsid w:val="00303F2C"/>
    <w:rsid w:val="00306293"/>
    <w:rsid w:val="003810EC"/>
    <w:rsid w:val="003A2901"/>
    <w:rsid w:val="003A7C90"/>
    <w:rsid w:val="003C7C62"/>
    <w:rsid w:val="004115E3"/>
    <w:rsid w:val="004508B0"/>
    <w:rsid w:val="004713FC"/>
    <w:rsid w:val="0047204B"/>
    <w:rsid w:val="0048652B"/>
    <w:rsid w:val="004A59AA"/>
    <w:rsid w:val="004B5B00"/>
    <w:rsid w:val="004C152F"/>
    <w:rsid w:val="004C5174"/>
    <w:rsid w:val="004E54E2"/>
    <w:rsid w:val="00505A11"/>
    <w:rsid w:val="005304BF"/>
    <w:rsid w:val="00533C2B"/>
    <w:rsid w:val="00556DAA"/>
    <w:rsid w:val="00573460"/>
    <w:rsid w:val="005830C5"/>
    <w:rsid w:val="005954A2"/>
    <w:rsid w:val="005B1C58"/>
    <w:rsid w:val="005B2830"/>
    <w:rsid w:val="005C0CAC"/>
    <w:rsid w:val="005D1B56"/>
    <w:rsid w:val="005E28A4"/>
    <w:rsid w:val="005F14CA"/>
    <w:rsid w:val="005F259C"/>
    <w:rsid w:val="005F55FA"/>
    <w:rsid w:val="005F611D"/>
    <w:rsid w:val="006072A2"/>
    <w:rsid w:val="00627EFD"/>
    <w:rsid w:val="00642F3F"/>
    <w:rsid w:val="00676C62"/>
    <w:rsid w:val="006C2ACF"/>
    <w:rsid w:val="006C397A"/>
    <w:rsid w:val="006E4B4A"/>
    <w:rsid w:val="006F5C36"/>
    <w:rsid w:val="00706848"/>
    <w:rsid w:val="007436EC"/>
    <w:rsid w:val="00743B19"/>
    <w:rsid w:val="00750CC5"/>
    <w:rsid w:val="00781C9F"/>
    <w:rsid w:val="0078323F"/>
    <w:rsid w:val="00797FE5"/>
    <w:rsid w:val="007A5C27"/>
    <w:rsid w:val="007C27B1"/>
    <w:rsid w:val="007C6256"/>
    <w:rsid w:val="00833BBB"/>
    <w:rsid w:val="008404A7"/>
    <w:rsid w:val="00866609"/>
    <w:rsid w:val="00894D16"/>
    <w:rsid w:val="008A0838"/>
    <w:rsid w:val="008A764D"/>
    <w:rsid w:val="008E5515"/>
    <w:rsid w:val="008F39F3"/>
    <w:rsid w:val="008F6AB8"/>
    <w:rsid w:val="009105F6"/>
    <w:rsid w:val="00913ABC"/>
    <w:rsid w:val="0092445D"/>
    <w:rsid w:val="00925721"/>
    <w:rsid w:val="009447AF"/>
    <w:rsid w:val="00956DCD"/>
    <w:rsid w:val="00963071"/>
    <w:rsid w:val="00964826"/>
    <w:rsid w:val="00995D31"/>
    <w:rsid w:val="009968C1"/>
    <w:rsid w:val="009979D3"/>
    <w:rsid w:val="009C59A0"/>
    <w:rsid w:val="009E246C"/>
    <w:rsid w:val="009E5F35"/>
    <w:rsid w:val="009E75D4"/>
    <w:rsid w:val="009F7056"/>
    <w:rsid w:val="00A009B8"/>
    <w:rsid w:val="00A1569E"/>
    <w:rsid w:val="00A27E2B"/>
    <w:rsid w:val="00A41E4F"/>
    <w:rsid w:val="00A57F21"/>
    <w:rsid w:val="00A71727"/>
    <w:rsid w:val="00A75A84"/>
    <w:rsid w:val="00A9324C"/>
    <w:rsid w:val="00AA48CA"/>
    <w:rsid w:val="00AC1195"/>
    <w:rsid w:val="00AC153B"/>
    <w:rsid w:val="00AC463F"/>
    <w:rsid w:val="00B007B8"/>
    <w:rsid w:val="00B24137"/>
    <w:rsid w:val="00B25BCD"/>
    <w:rsid w:val="00B4361B"/>
    <w:rsid w:val="00B57370"/>
    <w:rsid w:val="00B62088"/>
    <w:rsid w:val="00B832F9"/>
    <w:rsid w:val="00B870C1"/>
    <w:rsid w:val="00B914C5"/>
    <w:rsid w:val="00BA754C"/>
    <w:rsid w:val="00BD3017"/>
    <w:rsid w:val="00BE4441"/>
    <w:rsid w:val="00BF2A72"/>
    <w:rsid w:val="00C10A66"/>
    <w:rsid w:val="00CB27AA"/>
    <w:rsid w:val="00CC4241"/>
    <w:rsid w:val="00CF60FF"/>
    <w:rsid w:val="00D365BE"/>
    <w:rsid w:val="00D4229F"/>
    <w:rsid w:val="00D633AC"/>
    <w:rsid w:val="00D64C3F"/>
    <w:rsid w:val="00D806EE"/>
    <w:rsid w:val="00D846D5"/>
    <w:rsid w:val="00D87C65"/>
    <w:rsid w:val="00D87EBF"/>
    <w:rsid w:val="00DA1B5D"/>
    <w:rsid w:val="00DA5257"/>
    <w:rsid w:val="00DD4EE3"/>
    <w:rsid w:val="00DF2FAE"/>
    <w:rsid w:val="00E047AC"/>
    <w:rsid w:val="00E15254"/>
    <w:rsid w:val="00E16923"/>
    <w:rsid w:val="00E209D6"/>
    <w:rsid w:val="00E42DE8"/>
    <w:rsid w:val="00E50A7C"/>
    <w:rsid w:val="00E61654"/>
    <w:rsid w:val="00E64566"/>
    <w:rsid w:val="00EA4F56"/>
    <w:rsid w:val="00EB5250"/>
    <w:rsid w:val="00EC20E6"/>
    <w:rsid w:val="00F3128F"/>
    <w:rsid w:val="00F44B86"/>
    <w:rsid w:val="00F7368B"/>
    <w:rsid w:val="00F9144B"/>
    <w:rsid w:val="00F95CEE"/>
    <w:rsid w:val="00FA239C"/>
    <w:rsid w:val="00FA769F"/>
    <w:rsid w:val="00FB482D"/>
    <w:rsid w:val="00FC6012"/>
    <w:rsid w:val="00FE59D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96BD9"/>
  <w15:chartTrackingRefBased/>
  <w15:docId w15:val="{F56655D2-FAF4-46D3-A0F4-4D6BB3A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A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2B"/>
  </w:style>
  <w:style w:type="paragraph" w:styleId="Footer">
    <w:name w:val="footer"/>
    <w:basedOn w:val="Normal"/>
    <w:link w:val="FooterChar"/>
    <w:uiPriority w:val="99"/>
    <w:unhideWhenUsed/>
    <w:rsid w:val="0048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2B"/>
  </w:style>
  <w:style w:type="table" w:styleId="TableGrid">
    <w:name w:val="Table Grid"/>
    <w:basedOn w:val="TableNormal"/>
    <w:uiPriority w:val="39"/>
    <w:rsid w:val="00A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156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D8DD9D-C362-4E97-A6C2-1004881FD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FB643-6A56-425F-96F9-3D8899795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16F16-A6CA-4907-BF4E-E2FF11A1F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BC8EA-0275-4E15-8710-3AC1EF97E177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Nickel</dc:creator>
  <cp:keywords/>
  <dc:description/>
  <cp:lastModifiedBy>Mark Nickel</cp:lastModifiedBy>
  <cp:revision>65</cp:revision>
  <dcterms:created xsi:type="dcterms:W3CDTF">2024-11-19T15:47:00Z</dcterms:created>
  <dcterms:modified xsi:type="dcterms:W3CDTF">2024-11-28T18:00:00Z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</Properties>
</file>